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6F30B">
      <w:pPr>
        <w:pStyle w:val="121"/>
      </w:pPr>
      <w:r>
        <w:rPr>
          <w:rFonts w:ascii="Times New Roman"/>
        </w:rPr>
        <w:t>ICS</w:t>
      </w:r>
      <w:r>
        <w:rPr>
          <w:rFonts w:ascii="Cambria Math" w:hAnsi="Cambria Math" w:cs="Cambria Math"/>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t>65.100.</w:t>
      </w:r>
      <w:r>
        <w:rPr>
          <w:rFonts w:hint="eastAsia"/>
          <w:lang w:val="en-US" w:eastAsia="zh-CN"/>
        </w:rPr>
        <w:t>2</w:t>
      </w:r>
      <w:r>
        <w:t>0</w:t>
      </w:r>
      <w:r>
        <w:fldChar w:fldCharType="end"/>
      </w:r>
      <w:bookmarkEnd w:id="0"/>
    </w:p>
    <w:p w14:paraId="1A9F613F">
      <w:pPr>
        <w:pStyle w:val="121"/>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CCS</w:t>
      </w:r>
      <w:r>
        <w:t xml:space="preserve"> G 25     </w:t>
      </w:r>
      <w: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5C3CD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14:paraId="117B72F7">
            <w:pPr>
              <w:pStyle w:val="121"/>
              <w:keepNext w:val="0"/>
              <w:keepLines w:val="0"/>
              <w:suppressLineNumbers w:val="0"/>
              <w:spacing w:before="0" w:beforeAutospacing="0" w:after="0" w:afterAutospacing="0"/>
              <w:ind w:left="0" w:right="0"/>
              <w:rPr>
                <w:rFonts w:hint="default" w:hAnsi="Times New Roman" w:cs="Times New Roman"/>
              </w:rPr>
            </w:pPr>
            <w:r>
              <w:rPr>
                <w:rFonts w:hint="default" w:hAnsi="Times New Roman" w:cs="Times New Roman"/>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508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TPozLABAABnAwAADgAAAGRycy9lMm9Eb2MueG1srVNNb9sw&#10;DL0P2H8QdF8cB1u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LEz&#10;6MywAQAAZwMAAA4AAAAAAAAAAQAgAAAAJAEAAGRycy9lMm9Eb2MueG1sUEsFBgAAAAAGAAYAWQEA&#10;AEYFAAAAAA==&#10;">
                      <v:fill on="t" focussize="0,0"/>
                      <v:stroke on="f"/>
                      <v:imagedata o:title=""/>
                      <o:lock v:ext="edit" aspectratio="f"/>
                    </v:rect>
                  </w:pict>
                </mc:Fallback>
              </mc:AlternateContent>
            </w:r>
            <w:r>
              <w:rPr>
                <w:rFonts w:hint="default" w:hAnsi="Times New Roman" w:cs="Times New Roman"/>
              </w:rPr>
              <w:fldChar w:fldCharType="begin">
                <w:ffData>
                  <w:name w:val="BAH"/>
                  <w:enabled/>
                  <w:calcOnExit w:val="0"/>
                  <w:textInput/>
                </w:ffData>
              </w:fldChar>
            </w:r>
            <w:bookmarkStart w:id="2" w:name="BAH"/>
            <w:r>
              <w:rPr>
                <w:rFonts w:hint="default" w:hAnsi="Times New Roman" w:cs="Times New Roman"/>
              </w:rPr>
              <w:instrText xml:space="preserve"> FORMTEXT </w:instrText>
            </w:r>
            <w:r>
              <w:rPr>
                <w:rFonts w:hint="default" w:hAnsi="Times New Roman" w:cs="Times New Roman"/>
              </w:rPr>
              <w:fldChar w:fldCharType="separate"/>
            </w:r>
            <w:r>
              <w:rPr>
                <w:rFonts w:hint="default" w:hAnsi="Times New Roman" w:cs="Times New Roman"/>
              </w:rPr>
              <w:t>     </w:t>
            </w:r>
            <w:r>
              <w:rPr>
                <w:rFonts w:hint="default" w:hAnsi="Times New Roman" w:cs="Times New Roman"/>
              </w:rPr>
              <w:fldChar w:fldCharType="end"/>
            </w:r>
            <w:bookmarkEnd w:id="2"/>
          </w:p>
        </w:tc>
      </w:tr>
    </w:tbl>
    <w:p w14:paraId="744A129B">
      <w:pPr>
        <w:pStyle w:val="89"/>
      </w:pPr>
      <w:bookmarkStart w:id="3" w:name="c1"/>
      <w:r>
        <w:fldChar w:fldCharType="begin">
          <w:ffData>
            <w:name w:val="c1"/>
            <w:enabled/>
            <w:calcOnExit w:val="0"/>
            <w:entryMacro w:val="ShowHelp15"/>
            <w:textInput>
              <w:maxLength w:val="2"/>
            </w:textInput>
          </w:ffData>
        </w:fldChar>
      </w:r>
      <w:r>
        <w:instrText xml:space="preserve"> FORMTEXT </w:instrText>
      </w:r>
      <w:r>
        <w:fldChar w:fldCharType="separate"/>
      </w:r>
      <w:r>
        <w:t>NY</w:t>
      </w:r>
      <w:r>
        <w:fldChar w:fldCharType="end"/>
      </w:r>
      <w:bookmarkEnd w:id="3"/>
    </w:p>
    <w:p w14:paraId="790F99AB">
      <w:pPr>
        <w:pStyle w:val="65"/>
      </w:pPr>
      <w:r>
        <w:rPr>
          <w:rFonts w:hint="eastAsia"/>
        </w:rPr>
        <w:t>中华人民共和国</w:t>
      </w:r>
      <w:bookmarkStart w:id="4" w:name="c2"/>
      <w:r>
        <w:fldChar w:fldCharType="begin">
          <w:ffData>
            <w:name w:val="c2"/>
            <w:enabled/>
            <w:calcOnExit w:val="0"/>
            <w:entryMacro w:val="showhelp11"/>
            <w:textInput/>
          </w:ffData>
        </w:fldChar>
      </w:r>
      <w:r>
        <w:instrText xml:space="preserve"> FORMTEXT </w:instrText>
      </w:r>
      <w:r>
        <w:fldChar w:fldCharType="separate"/>
      </w:r>
      <w:r>
        <w:rPr>
          <w:rFonts w:hint="eastAsia"/>
        </w:rPr>
        <w:t>农业</w:t>
      </w:r>
      <w:r>
        <w:fldChar w:fldCharType="end"/>
      </w:r>
      <w:bookmarkEnd w:id="4"/>
      <w:r>
        <w:rPr>
          <w:rFonts w:hint="eastAsia"/>
        </w:rPr>
        <w:t>行业标准</w:t>
      </w:r>
    </w:p>
    <w:p w14:paraId="605BB266">
      <w:pPr>
        <w:pStyle w:val="59"/>
        <w:rPr>
          <w:lang w:val="fr-FR"/>
        </w:rPr>
      </w:pPr>
      <w:bookmarkStart w:id="5" w:name="StdNo0"/>
      <w:r>
        <w:rPr>
          <w:rFonts w:ascii="Times New Roman"/>
        </w:rPr>
        <w:fldChar w:fldCharType="begin">
          <w:ffData>
            <w:name w:val="StdNo0"/>
            <w:enabled/>
            <w:calcOnExit w:val="0"/>
            <w:textInput>
              <w:default w:val="XX"/>
              <w:maxLength w:val="2"/>
            </w:textInput>
          </w:ffData>
        </w:fldChar>
      </w:r>
      <w:r>
        <w:rPr>
          <w:rFonts w:ascii="Times New Roman"/>
          <w:lang w:val="fr-FR"/>
        </w:rPr>
        <w:instrText xml:space="preserve"> FORMTEXT </w:instrText>
      </w:r>
      <w:r>
        <w:rPr>
          <w:rFonts w:ascii="Times New Roman"/>
        </w:rPr>
        <w:fldChar w:fldCharType="separate"/>
      </w:r>
      <w:r>
        <w:rPr>
          <w:rFonts w:ascii="Times New Roman"/>
          <w:lang w:val="fr-FR"/>
        </w:rPr>
        <w:t>NY</w:t>
      </w:r>
      <w:r>
        <w:rPr>
          <w:rFonts w:ascii="Times New Roman"/>
        </w:rPr>
        <w:fldChar w:fldCharType="end"/>
      </w:r>
      <w:bookmarkEnd w:id="5"/>
      <w:r>
        <w:rPr>
          <w:rFonts w:ascii="Times New Roman"/>
          <w:lang w:val="fr-FR"/>
        </w:rPr>
        <w:t xml:space="preserve">/T </w:t>
      </w:r>
      <w:bookmarkStart w:id="6" w:name="StdNo1"/>
      <w:r>
        <w:fldChar w:fldCharType="begin">
          <w:ffData>
            <w:name w:val="StdNo1"/>
            <w:enabled/>
            <w:calcOnExit w:val="0"/>
            <w:textInput>
              <w:default w:val="XXXXX"/>
            </w:textInput>
          </w:ffData>
        </w:fldChar>
      </w:r>
      <w:r>
        <w:rPr>
          <w:lang w:val="fr-FR"/>
        </w:rPr>
        <w:instrText xml:space="preserve"> FORMTEXT </w:instrText>
      </w:r>
      <w:r>
        <w:fldChar w:fldCharType="separate"/>
      </w:r>
      <w:r>
        <w:t>X</w:t>
      </w:r>
      <w:r>
        <w:rPr>
          <w:lang w:val="fr-FR"/>
        </w:rPr>
        <w:t>XXX</w:t>
      </w:r>
      <w:r>
        <w:fldChar w:fldCharType="end"/>
      </w:r>
      <w:bookmarkEnd w:id="6"/>
      <w:r>
        <w:rPr>
          <w:lang w:val="fr-FR"/>
        </w:rPr>
        <w:t>—</w:t>
      </w:r>
      <w:bookmarkStart w:id="7" w:name="StdNo2"/>
      <w:r>
        <w:fldChar w:fldCharType="begin">
          <w:ffData>
            <w:name w:val="StdNo2"/>
            <w:enabled/>
            <w:calcOnExit w:val="0"/>
            <w:textInput>
              <w:default w:val="XXXX"/>
              <w:maxLength w:val="4"/>
            </w:textInput>
          </w:ffData>
        </w:fldChar>
      </w:r>
      <w:r>
        <w:rPr>
          <w:lang w:val="fr-FR"/>
        </w:rPr>
        <w:instrText xml:space="preserve"> FORMTEXT </w:instrText>
      </w:r>
      <w:r>
        <w:fldChar w:fldCharType="separate"/>
      </w:r>
      <w:r>
        <w:rPr>
          <w:lang w:val="fr-FR"/>
        </w:rPr>
        <w:t>XXXX</w:t>
      </w:r>
      <w:r>
        <w:fldChar w:fldCharType="end"/>
      </w:r>
      <w:bookmarkEnd w:id="7"/>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30633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5E759F16">
            <w:pPr>
              <w:pStyle w:val="126"/>
              <w:keepNext w:val="0"/>
              <w:keepLines w:val="0"/>
              <w:widowControl/>
              <w:suppressLineNumbers w:val="0"/>
              <w:spacing w:beforeAutospacing="0" w:after="0" w:afterAutospacing="0"/>
              <w:ind w:left="0" w:right="0"/>
              <w:rPr>
                <w:rFonts w:hint="eastAsia" w:hAnsi="Times New Roman" w:cs="Times New Roman"/>
                <w:lang w:val="fr-FR"/>
              </w:rPr>
            </w:pPr>
            <w:bookmarkStart w:id="8" w:name="DT"/>
            <w:r>
              <w:rPr>
                <w:rFonts w:hint="default" w:hAnsi="Times New Roman" w:cs="Times New Roman"/>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5g8svWAAAACAEA&#10;AA8AAAAAAAAAAQAgAAAAIgAAAGRycy9kb3ducmV2LnhtbFBLAQIUABQAAAAIAIdO4kD2n1EKqgEA&#10;AGcDAAAOAAAAAAAAAAEAIAAAACUBAABkcnMvZTJvRG9jLnhtbFBLBQYAAAAABgAGAFkBAABBBQAA&#10;AAA=&#10;">
                      <v:fill on="t" focussize="0,0"/>
                      <v:stroke on="f"/>
                      <v:imagedata o:title=""/>
                      <o:lock v:ext="edit" aspectratio="f"/>
                    </v:rect>
                  </w:pict>
                </mc:Fallback>
              </mc:AlternateContent>
            </w:r>
            <w:bookmarkEnd w:id="8"/>
          </w:p>
        </w:tc>
      </w:tr>
    </w:tbl>
    <w:p w14:paraId="7FE3E301">
      <w:pPr>
        <w:pStyle w:val="59"/>
        <w:rPr>
          <w:lang w:val="fr-FR"/>
        </w:rPr>
      </w:pPr>
    </w:p>
    <w:p w14:paraId="4B699460">
      <w:pPr>
        <w:pStyle w:val="59"/>
        <w:rPr>
          <w:lang w:val="fr-FR"/>
        </w:rPr>
      </w:pPr>
    </w:p>
    <w:p w14:paraId="32C77534">
      <w:pPr>
        <w:pStyle w:val="58"/>
      </w:pPr>
      <w:bookmarkStart w:id="9"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lang w:eastAsia="zh-CN"/>
        </w:rPr>
        <w:t>唑啉草酯可分散油悬浮剂</w:t>
      </w:r>
      <w:r>
        <w:fldChar w:fldCharType="end"/>
      </w:r>
      <w:bookmarkEnd w:id="9"/>
    </w:p>
    <w:p w14:paraId="6A078B34">
      <w:pPr>
        <w:pStyle w:val="57"/>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Pinoxaden</w:t>
      </w:r>
      <w:r>
        <w:t xml:space="preserve"> </w:t>
      </w:r>
      <w:r>
        <w:rPr>
          <w:rFonts w:hint="eastAsia"/>
        </w:rPr>
        <w:t>oil-based suspension concentrate</w:t>
      </w:r>
      <w:r>
        <w:fldChar w:fldCharType="end"/>
      </w:r>
      <w:bookmarkEnd w:id="10"/>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CF58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6A936F85">
            <w:pPr>
              <w:pStyle w:val="55"/>
              <w:keepNext w:val="0"/>
              <w:keepLines w:val="0"/>
              <w:suppressLineNumbers w:val="0"/>
              <w:spacing w:beforeAutospacing="0" w:afterAutospacing="0"/>
              <w:ind w:left="0" w:right="0"/>
              <w:rPr>
                <w:rFonts w:hint="default" w:hAnsi="Times New Roman" w:cs="Times New Roman"/>
              </w:rPr>
            </w:pPr>
            <w:r>
              <w:rPr>
                <w:rFonts w:hint="default" w:hAnsi="Times New Roman" w:cs="Times New Roman"/>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I1ieZWqAQAA&#10;ZwMAAA4AAAAAAAAAAQAgAAAAJAEAAGRycy9lMm9Eb2MueG1sUEsFBgAAAAAGAAYAWQEAAEAFAAAA&#10;AA==&#10;">
                      <v:fill on="t" focussize="0,0"/>
                      <v:stroke on="f"/>
                      <v:imagedata o:title=""/>
                      <o:lock v:ext="edit" aspectratio="f"/>
                      <w10:anchorlock/>
                    </v:rect>
                  </w:pict>
                </mc:Fallback>
              </mc:AlternateContent>
            </w:r>
            <w:r>
              <w:rPr>
                <w:rFonts w:hint="default" w:hAnsi="Times New Roman" w:cs="Times New Roman"/>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BXfBLqpAQAA&#10;ZwMAAA4AAAAAAAAAAQAgAAAAJQEAAGRycy9lMm9Eb2MueG1sUEsFBgAAAAAGAAYAWQEAAEAFAAAA&#10;AA==&#10;">
                      <v:fill on="t" focussize="0,0"/>
                      <v:stroke on="f"/>
                      <v:imagedata o:title=""/>
                      <o:lock v:ext="edit" aspectratio="f"/>
                    </v:rect>
                  </w:pict>
                </mc:Fallback>
              </mc:AlternateContent>
            </w:r>
            <w:r>
              <w:rPr>
                <w:rFonts w:hint="default" w:hAnsi="Times New Roman" w:cs="Times New Roman"/>
              </w:rP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1" w:name="LB"/>
            <w:r>
              <w:rPr>
                <w:rFonts w:hint="default" w:hAnsi="Times New Roman" w:cs="Times New Roman"/>
              </w:rPr>
              <w:instrText xml:space="preserve"> FORMDROPDOWN </w:instrText>
            </w:r>
            <w:r>
              <w:rPr>
                <w:rFonts w:hint="default" w:hAnsi="Times New Roman" w:cs="Times New Roman"/>
              </w:rPr>
              <w:fldChar w:fldCharType="separate"/>
            </w:r>
            <w:r>
              <w:rPr>
                <w:rFonts w:hint="default" w:hAnsi="Times New Roman" w:cs="Times New Roman"/>
              </w:rPr>
              <w:fldChar w:fldCharType="end"/>
            </w:r>
            <w:bookmarkEnd w:id="11"/>
          </w:p>
        </w:tc>
      </w:tr>
      <w:tr w14:paraId="229525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2A5CAB55">
            <w:pPr>
              <w:pStyle w:val="54"/>
              <w:keepNext w:val="0"/>
              <w:keepLines w:val="0"/>
              <w:suppressLineNumbers w:val="0"/>
              <w:spacing w:beforeAutospacing="0" w:afterAutospacing="0"/>
              <w:ind w:left="0" w:right="0"/>
              <w:rPr>
                <w:rFonts w:hint="eastAsia" w:hAnsi="Times New Roman" w:cs="Times New Roman"/>
              </w:rPr>
            </w:pPr>
            <w:bookmarkStart w:id="12" w:name="WCRQ"/>
            <w:r>
              <w:rPr>
                <w:rFonts w:hint="default" w:hAnsi="Times New Roman" w:cs="Times New Roman"/>
              </w:rPr>
              <w:fldChar w:fldCharType="begin">
                <w:ffData>
                  <w:name w:val="WCRQ"/>
                  <w:enabled/>
                  <w:calcOnExit w:val="0"/>
                  <w:textInput/>
                </w:ffData>
              </w:fldChar>
            </w:r>
            <w:r>
              <w:rPr>
                <w:rFonts w:hint="default" w:hAnsi="Times New Roman" w:cs="Times New Roman"/>
              </w:rPr>
              <w:instrText xml:space="preserve"> FORMTEXT </w:instrText>
            </w:r>
            <w:r>
              <w:rPr>
                <w:rFonts w:hint="default" w:hAnsi="Times New Roman" w:cs="Times New Roman"/>
              </w:rPr>
              <w:fldChar w:fldCharType="separate"/>
            </w:r>
            <w:r>
              <w:rPr>
                <w:rFonts w:hint="eastAsia" w:hAnsi="Times New Roman" w:cs="Times New Roman"/>
              </w:rPr>
              <w:t>（本稿完成日期：20</w:t>
            </w:r>
            <w:r>
              <w:rPr>
                <w:rFonts w:hint="default" w:hAnsi="Times New Roman" w:cs="Times New Roman"/>
              </w:rPr>
              <w:t>2</w:t>
            </w:r>
            <w:r>
              <w:rPr>
                <w:rFonts w:hint="eastAsia" w:cs="Times New Roman"/>
                <w:lang w:val="en-US" w:eastAsia="zh-CN"/>
              </w:rPr>
              <w:t>5</w:t>
            </w:r>
            <w:r>
              <w:rPr>
                <w:rFonts w:hint="eastAsia" w:hAnsi="Times New Roman" w:cs="Times New Roman"/>
              </w:rPr>
              <w:t>.</w:t>
            </w:r>
            <w:r>
              <w:rPr>
                <w:rFonts w:hint="eastAsia" w:cs="Times New Roman"/>
                <w:lang w:val="en-US" w:eastAsia="zh-CN"/>
              </w:rPr>
              <w:t>11</w:t>
            </w:r>
            <w:r>
              <w:rPr>
                <w:rFonts w:hint="eastAsia" w:hAnsi="Times New Roman" w:cs="Times New Roman"/>
              </w:rPr>
              <w:t>）</w:t>
            </w:r>
          </w:p>
          <w:p w14:paraId="10B88580">
            <w:pPr>
              <w:pStyle w:val="54"/>
              <w:keepNext w:val="0"/>
              <w:keepLines w:val="0"/>
              <w:suppressLineNumbers w:val="0"/>
              <w:spacing w:beforeAutospacing="0" w:afterAutospacing="0"/>
              <w:ind w:left="0" w:right="0"/>
              <w:rPr>
                <w:rFonts w:hint="default" w:hAnsi="Times New Roman" w:cs="Times New Roman"/>
              </w:rPr>
            </w:pPr>
            <w:r>
              <w:rPr>
                <w:rFonts w:hint="default" w:hAnsi="Times New Roman" w:cs="Times New Roman"/>
              </w:rPr>
              <w:t>在提交反馈意见时，请将您知道的相关专利连同支持性文件一并附上</w:t>
            </w:r>
            <w:r>
              <w:rPr>
                <w:rFonts w:hint="default" w:hAnsi="Times New Roman" w:cs="Times New Roman"/>
              </w:rPr>
              <w:fldChar w:fldCharType="end"/>
            </w:r>
            <w:bookmarkEnd w:id="12"/>
          </w:p>
        </w:tc>
      </w:tr>
    </w:tbl>
    <w:p w14:paraId="23BEA7B7">
      <w:pPr>
        <w:pStyle w:val="130"/>
      </w:pPr>
      <w:bookmarkStart w:id="13"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4"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3tMMG&#10;5gEAANwDAAAOAAAAAAAAAAEAIAAAACUBAABkcnMvZTJvRG9jLnhtbFBLBQYAAAAABgAGAFkBAAB9&#10;BQAAAAA=&#10;">
                <v:fill on="f" focussize="0,0"/>
                <v:stroke color="#000000" joinstyle="round"/>
                <v:imagedata o:title=""/>
                <o:lock v:ext="edit" aspectratio="f"/>
                <w10:anchorlock/>
              </v:line>
            </w:pict>
          </mc:Fallback>
        </mc:AlternateContent>
      </w:r>
    </w:p>
    <w:p w14:paraId="6712F7E0">
      <w:pPr>
        <w:pStyle w:val="111"/>
      </w:pPr>
      <w:bookmarkStart w:id="15"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bookmarkStart w:id="16"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bookmarkStart w:id="17"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7230CEBB">
      <w:pPr>
        <w:pStyle w:val="102"/>
      </w:pPr>
      <w:bookmarkStart w:id="18" w:name="fm"/>
      <w:r>
        <w:fldChar w:fldCharType="begin">
          <w:ffData>
            <w:name w:val="fm"/>
            <w:enabled/>
            <w:calcOnExit w:val="0"/>
            <w:textInput/>
          </w:ffData>
        </w:fldChar>
      </w:r>
      <w:r>
        <w:instrText xml:space="preserve"> FORMTEXT </w:instrText>
      </w:r>
      <w:r>
        <w:fldChar w:fldCharType="separate"/>
      </w:r>
      <w:r>
        <w:t>  </w:t>
      </w:r>
      <w:r>
        <w:rPr>
          <w:rFonts w:hint="eastAsia"/>
        </w:rPr>
        <w:t>中华人民共和国农业农村部</w:t>
      </w:r>
      <w:r>
        <w:fldChar w:fldCharType="end"/>
      </w:r>
      <w:bookmarkEnd w:id="18"/>
      <w:r>
        <w:rPr>
          <w:rFonts w:ascii="Cambria Math" w:hAnsi="Cambria Math" w:cs="Cambria Math"/>
        </w:rPr>
        <w:t>   </w:t>
      </w:r>
      <w:r>
        <w:rPr>
          <w:rStyle w:val="46"/>
          <w:rFonts w:hint="eastAsia"/>
        </w:rPr>
        <w:t>发布</w:t>
      </w:r>
    </w:p>
    <w:p w14:paraId="5AA362EC">
      <w:pPr>
        <w:pStyle w:val="21"/>
        <w:sectPr>
          <w:headerReference r:id="rId3" w:type="even"/>
          <w:footerReference r:id="rId4" w:type="even"/>
          <w:pgSz w:w="11906" w:h="16838"/>
          <w:pgMar w:top="567" w:right="1134" w:bottom="1134" w:left="1417" w:header="0" w:footer="0" w:gutter="0"/>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AEO&#10;p5LnAQAA3AMAAA4AAAAAAAAAAQAgAAAAJgEAAGRycy9lMm9Eb2MueG1sUEsFBgAAAAAGAAYAWQEA&#10;AH8FAAAAAA==&#10;">
                <v:fill on="f" focussize="0,0"/>
                <v:stroke color="#000000" joinstyle="round"/>
                <v:imagedata o:title=""/>
                <o:lock v:ext="edit" aspectratio="f"/>
              </v:line>
            </w:pict>
          </mc:Fallback>
        </mc:AlternateContent>
      </w:r>
    </w:p>
    <w:p w14:paraId="4CDC6E53">
      <w:pPr>
        <w:pStyle w:val="131"/>
        <w:rPr>
          <w:rFonts w:hint="eastAsia"/>
        </w:rPr>
      </w:pPr>
      <w:bookmarkStart w:id="19" w:name="_Toc494273381"/>
      <w:bookmarkStart w:id="20" w:name="_Toc463858427"/>
      <w:bookmarkStart w:id="21" w:name="_Toc188070590"/>
      <w:bookmarkStart w:id="22" w:name="_Toc465682840"/>
      <w:bookmarkStart w:id="23" w:name="_Toc496808855"/>
      <w:bookmarkStart w:id="24" w:name="_Toc463860748"/>
      <w:bookmarkStart w:id="25" w:name="_Toc465930214"/>
      <w:bookmarkStart w:id="26" w:name="_Toc465776939"/>
      <w:bookmarkStart w:id="27" w:name="_Toc496876273"/>
      <w:bookmarkStart w:id="28" w:name="_Toc188041018"/>
      <w:r>
        <w:rPr>
          <w:rFonts w:hint="eastAsia"/>
        </w:rPr>
        <w:t>前</w:t>
      </w:r>
      <w:bookmarkStart w:id="29" w:name="BKQY"/>
      <w:r>
        <w:rPr>
          <w:rFonts w:ascii="Cambria Math" w:hAnsi="Cambria Math" w:cs="Cambria Math"/>
        </w:rPr>
        <w:t>  </w:t>
      </w:r>
      <w:r>
        <w:rPr>
          <w:rFonts w:hint="eastAsia"/>
        </w:rPr>
        <w:t>言</w:t>
      </w:r>
      <w:bookmarkEnd w:id="19"/>
      <w:bookmarkEnd w:id="20"/>
      <w:bookmarkEnd w:id="21"/>
      <w:bookmarkEnd w:id="22"/>
      <w:bookmarkEnd w:id="23"/>
      <w:bookmarkEnd w:id="24"/>
      <w:bookmarkEnd w:id="25"/>
      <w:bookmarkEnd w:id="26"/>
      <w:bookmarkEnd w:id="27"/>
      <w:bookmarkEnd w:id="28"/>
      <w:bookmarkEnd w:id="29"/>
    </w:p>
    <w:p w14:paraId="37519522">
      <w:pPr>
        <w:pStyle w:val="21"/>
        <w:rPr>
          <w:rFonts w:hint="eastAsia"/>
        </w:rPr>
      </w:pPr>
      <w:r>
        <w:rPr>
          <w:rFonts w:hint="eastAsia"/>
        </w:rPr>
        <w:t>本文件按照 GB/T 1.1—2020《标准化工作导则  第1部分：标准化文件的结构和起草规则》的规定起草。</w:t>
      </w:r>
    </w:p>
    <w:p w14:paraId="54D108D6">
      <w:pPr>
        <w:pStyle w:val="21"/>
      </w:pPr>
      <w:bookmarkStart w:id="30" w:name="_Hlk54437385"/>
      <w:r>
        <w:rPr>
          <w:rFonts w:hint="eastAsia"/>
        </w:rPr>
        <w:t>请注意本文件的某些内容可能涉及专利。本文件的发布机构不承担识别专利的责任</w:t>
      </w:r>
      <w:bookmarkEnd w:id="30"/>
      <w:r>
        <w:rPr>
          <w:rFonts w:hint="eastAsia"/>
        </w:rPr>
        <w:t>。</w:t>
      </w:r>
    </w:p>
    <w:p w14:paraId="6178B43C">
      <w:pPr>
        <w:pStyle w:val="21"/>
      </w:pPr>
      <w:r>
        <w:rPr>
          <w:rFonts w:hint="eastAsia"/>
        </w:rPr>
        <w:t>本文件由农业农村部</w:t>
      </w:r>
      <w:r>
        <w:t>种植业管理司</w:t>
      </w:r>
      <w:r>
        <w:rPr>
          <w:rFonts w:hint="eastAsia"/>
        </w:rPr>
        <w:t>提出。</w:t>
      </w:r>
    </w:p>
    <w:p w14:paraId="144E9193">
      <w:pPr>
        <w:pStyle w:val="21"/>
      </w:pPr>
      <w:r>
        <w:rPr>
          <w:rFonts w:hint="eastAsia"/>
        </w:rPr>
        <w:t>本文件由全国农药标准化技术委员会(SAC/TC 133)归口。</w:t>
      </w:r>
    </w:p>
    <w:p w14:paraId="2E1CD79D">
      <w:pPr>
        <w:pStyle w:val="21"/>
        <w:rPr>
          <w:rFonts w:hint="eastAsia"/>
          <w:szCs w:val="21"/>
        </w:rPr>
      </w:pPr>
      <w:r>
        <w:rPr>
          <w:rFonts w:hint="eastAsia"/>
        </w:rPr>
        <w:t>本文件起草单位：</w:t>
      </w:r>
    </w:p>
    <w:p w14:paraId="59C91978">
      <w:pPr>
        <w:pStyle w:val="21"/>
        <w:rPr>
          <w:rFonts w:hint="eastAsia"/>
        </w:rPr>
      </w:pPr>
      <w:r>
        <w:rPr>
          <w:rFonts w:hint="eastAsia"/>
        </w:rPr>
        <w:t>本文件主要起草人：</w:t>
      </w:r>
    </w:p>
    <w:p w14:paraId="2BA0841A">
      <w:pPr>
        <w:pStyle w:val="21"/>
        <w:sectPr>
          <w:headerReference r:id="rId5" w:type="default"/>
          <w:footerReference r:id="rId6" w:type="default"/>
          <w:pgSz w:w="11906" w:h="16838"/>
          <w:pgMar w:top="567" w:right="1134" w:bottom="1134" w:left="1417" w:header="1418" w:footer="1134" w:gutter="0"/>
          <w:pgNumType w:fmt="upperRoman" w:start="1"/>
          <w:cols w:space="720" w:num="1"/>
          <w:formProt w:val="0"/>
          <w:docGrid w:type="lines" w:linePitch="312" w:charSpace="0"/>
        </w:sectPr>
      </w:pPr>
    </w:p>
    <w:p w14:paraId="36447DC9">
      <w:pPr>
        <w:pStyle w:val="124"/>
        <w:rPr>
          <w:rFonts w:hint="eastAsia" w:eastAsia="黑体"/>
          <w:lang w:eastAsia="zh-CN"/>
        </w:rPr>
      </w:pPr>
      <w:r>
        <w:rPr>
          <w:rFonts w:hint="eastAsia"/>
          <w:lang w:eastAsia="zh-CN"/>
        </w:rPr>
        <w:t>唑啉草酯可分散油悬浮剂</w:t>
      </w:r>
    </w:p>
    <w:p w14:paraId="7AF43DCD">
      <w:pPr>
        <w:pStyle w:val="50"/>
        <w:rPr>
          <w:rFonts w:hint="eastAsia"/>
        </w:rPr>
      </w:pPr>
      <w:bookmarkStart w:id="31" w:name="_Toc496876274"/>
      <w:bookmarkStart w:id="32" w:name="_Toc188070591"/>
      <w:bookmarkStart w:id="33" w:name="_Toc188041019"/>
      <w:bookmarkStart w:id="34" w:name="_Toc463860749"/>
      <w:bookmarkStart w:id="35" w:name="_Toc496808856"/>
      <w:bookmarkStart w:id="36" w:name="_Toc494273382"/>
      <w:bookmarkStart w:id="37" w:name="_Toc465776940"/>
      <w:bookmarkStart w:id="38" w:name="_Toc463858428"/>
      <w:bookmarkStart w:id="39" w:name="_Toc465682841"/>
      <w:bookmarkStart w:id="40" w:name="_Toc465930215"/>
      <w:r>
        <w:rPr>
          <w:rFonts w:hint="eastAsia"/>
        </w:rPr>
        <w:t>范围</w:t>
      </w:r>
      <w:bookmarkEnd w:id="31"/>
      <w:bookmarkEnd w:id="32"/>
      <w:bookmarkEnd w:id="33"/>
      <w:bookmarkEnd w:id="34"/>
      <w:bookmarkEnd w:id="35"/>
      <w:bookmarkEnd w:id="36"/>
      <w:bookmarkEnd w:id="37"/>
      <w:bookmarkEnd w:id="38"/>
      <w:bookmarkEnd w:id="39"/>
      <w:bookmarkEnd w:id="40"/>
    </w:p>
    <w:p w14:paraId="4105CFAC">
      <w:pPr>
        <w:pStyle w:val="21"/>
      </w:pPr>
      <w:r>
        <w:rPr>
          <w:rFonts w:hint="eastAsia"/>
        </w:rPr>
        <w:t>本文件规定了</w:t>
      </w:r>
      <w:r>
        <w:rPr>
          <w:rFonts w:hint="eastAsia"/>
          <w:lang w:eastAsia="zh-CN"/>
        </w:rPr>
        <w:t>唑啉草酯可分散油悬浮剂</w:t>
      </w:r>
      <w:r>
        <w:rPr>
          <w:rFonts w:hint="eastAsia"/>
        </w:rPr>
        <w:t>的技术要求、</w:t>
      </w:r>
      <w:bookmarkStart w:id="41" w:name="_Hlk54437402"/>
      <w:r>
        <w:rPr>
          <w:rFonts w:hint="eastAsia"/>
        </w:rPr>
        <w:t>检验规则、</w:t>
      </w:r>
      <w:bookmarkEnd w:id="41"/>
      <w:r>
        <w:rPr>
          <w:rFonts w:hint="eastAsia"/>
        </w:rPr>
        <w:t>验收和质量保证期以及标志、标签、包装、储运，描述了</w:t>
      </w:r>
      <w:r>
        <w:rPr>
          <w:rFonts w:hint="eastAsia"/>
          <w:lang w:eastAsia="zh-CN"/>
        </w:rPr>
        <w:t>唑啉草酯可分散油悬浮剂</w:t>
      </w:r>
      <w:r>
        <w:rPr>
          <w:rFonts w:hint="eastAsia"/>
        </w:rPr>
        <w:t>的试验方法。</w:t>
      </w:r>
    </w:p>
    <w:p w14:paraId="3418B66E">
      <w:pPr>
        <w:pStyle w:val="21"/>
        <w:rPr>
          <w:rFonts w:hint="eastAsia" w:ascii="Times New Roman"/>
        </w:rPr>
      </w:pPr>
      <w:r>
        <w:rPr>
          <w:rFonts w:hint="eastAsia"/>
        </w:rPr>
        <w:t>本文件适用于</w:t>
      </w:r>
      <w:r>
        <w:rPr>
          <w:rFonts w:hint="eastAsia" w:ascii="Times New Roman"/>
          <w:lang w:eastAsia="zh-CN"/>
        </w:rPr>
        <w:t>唑啉草酯</w:t>
      </w:r>
      <w:bookmarkStart w:id="42" w:name="_Hlk52961164"/>
      <w:r>
        <w:rPr>
          <w:rFonts w:hint="eastAsia" w:ascii="Times New Roman"/>
          <w:lang w:eastAsia="zh-CN"/>
        </w:rPr>
        <w:t>可分散油悬浮剂</w:t>
      </w:r>
      <w:r>
        <w:rPr>
          <w:rFonts w:hint="eastAsia" w:ascii="Times New Roman"/>
        </w:rPr>
        <w:t>产品的</w:t>
      </w:r>
      <w:r>
        <w:t>质量控制</w:t>
      </w:r>
      <w:bookmarkEnd w:id="42"/>
      <w:r>
        <w:rPr>
          <w:rFonts w:hint="eastAsia" w:ascii="Times New Roman"/>
        </w:rPr>
        <w:t>。</w:t>
      </w:r>
      <w:bookmarkStart w:id="43" w:name="_Toc465682842"/>
      <w:bookmarkStart w:id="44" w:name="_Toc188041020"/>
      <w:bookmarkStart w:id="45" w:name="_Toc188070592"/>
      <w:bookmarkStart w:id="46" w:name="_Toc463858429"/>
      <w:bookmarkStart w:id="47" w:name="_Toc465776941"/>
      <w:bookmarkStart w:id="48" w:name="_Toc496876275"/>
      <w:bookmarkStart w:id="49" w:name="_Toc463860750"/>
      <w:bookmarkStart w:id="50" w:name="_Toc496808857"/>
      <w:bookmarkStart w:id="51" w:name="_Toc465930216"/>
      <w:bookmarkStart w:id="52" w:name="_Toc494273383"/>
    </w:p>
    <w:p w14:paraId="734DB590">
      <w:pPr>
        <w:pStyle w:val="21"/>
        <w:ind w:firstLine="419" w:firstLineChars="233"/>
        <w:rPr>
          <w:rFonts w:hint="eastAsia" w:hAnsi="宋体" w:cs="宋体"/>
          <w:sz w:val="18"/>
          <w:szCs w:val="18"/>
        </w:rPr>
      </w:pPr>
      <w:r>
        <w:rPr>
          <w:rFonts w:hint="eastAsia" w:hAnsi="宋体" w:cs="宋体"/>
          <w:sz w:val="18"/>
          <w:szCs w:val="18"/>
        </w:rPr>
        <w:t>注：</w:t>
      </w:r>
      <w:r>
        <w:rPr>
          <w:rFonts w:hint="eastAsia" w:hAnsi="宋体" w:cs="宋体"/>
          <w:sz w:val="18"/>
          <w:szCs w:val="18"/>
          <w:lang w:eastAsia="zh-CN"/>
        </w:rPr>
        <w:t>唑啉草酯</w:t>
      </w:r>
      <w:r>
        <w:rPr>
          <w:rFonts w:hint="eastAsia" w:hAnsi="宋体" w:cs="宋体"/>
          <w:sz w:val="18"/>
          <w:szCs w:val="18"/>
          <w:lang w:val="en-US" w:eastAsia="zh-CN"/>
        </w:rPr>
        <w:t>和解草酯</w:t>
      </w:r>
      <w:r>
        <w:rPr>
          <w:rFonts w:hint="eastAsia" w:hAnsi="宋体" w:cs="宋体"/>
          <w:sz w:val="18"/>
          <w:szCs w:val="18"/>
        </w:rPr>
        <w:t>的其他名称、结构式和基本物化参数见附录A。</w:t>
      </w:r>
    </w:p>
    <w:p w14:paraId="31020F9E">
      <w:pPr>
        <w:pStyle w:val="50"/>
        <w:rPr>
          <w:rFonts w:hint="eastAsia"/>
        </w:rPr>
      </w:pPr>
      <w:r>
        <w:rPr>
          <w:rFonts w:hint="eastAsia"/>
        </w:rPr>
        <w:t>规范性引用文件</w:t>
      </w:r>
      <w:bookmarkEnd w:id="43"/>
      <w:bookmarkEnd w:id="44"/>
      <w:bookmarkEnd w:id="45"/>
      <w:bookmarkEnd w:id="46"/>
      <w:bookmarkEnd w:id="47"/>
      <w:bookmarkEnd w:id="48"/>
      <w:bookmarkEnd w:id="49"/>
      <w:bookmarkEnd w:id="50"/>
      <w:bookmarkEnd w:id="51"/>
      <w:bookmarkEnd w:id="52"/>
    </w:p>
    <w:p w14:paraId="7CBDEDB5">
      <w:pPr>
        <w:pStyle w:val="21"/>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B9E9CC8">
      <w:pPr>
        <w:pStyle w:val="21"/>
        <w:widowControl w:val="0"/>
        <w:rPr>
          <w:rFonts w:hint="eastAsia"/>
        </w:rPr>
      </w:pPr>
      <w:r>
        <w:t>GB/T 1600</w:t>
      </w:r>
      <w:r>
        <w:rPr>
          <w:rFonts w:hAnsi="宋体"/>
        </w:rPr>
        <w:t>—</w:t>
      </w:r>
      <w:r>
        <w:rPr>
          <w:rFonts w:hint="eastAsia"/>
        </w:rPr>
        <w:t>2001 农药水分测定方法</w:t>
      </w:r>
    </w:p>
    <w:p w14:paraId="23904358">
      <w:pPr>
        <w:pStyle w:val="21"/>
        <w:widowControl w:val="0"/>
        <w:rPr>
          <w:rFonts w:hint="eastAsia"/>
        </w:rPr>
      </w:pPr>
      <w:r>
        <w:t>GB/T 160</w:t>
      </w:r>
      <w:r>
        <w:rPr>
          <w:rFonts w:hint="eastAsia"/>
        </w:rPr>
        <w:t>1 农药 pH值的测定方法</w:t>
      </w:r>
    </w:p>
    <w:p w14:paraId="56B9F13E">
      <w:pPr>
        <w:pStyle w:val="21"/>
        <w:widowControl w:val="0"/>
        <w:rPr>
          <w:rFonts w:hint="eastAsia"/>
        </w:rPr>
      </w:pPr>
      <w:r>
        <w:rPr>
          <w:rFonts w:hint="eastAsia"/>
        </w:rPr>
        <w:t>GB/T 1604 商品农药验收规则</w:t>
      </w:r>
    </w:p>
    <w:p w14:paraId="46CD5425">
      <w:pPr>
        <w:pStyle w:val="21"/>
        <w:widowControl w:val="0"/>
        <w:rPr>
          <w:rFonts w:hint="eastAsia"/>
        </w:rPr>
      </w:pPr>
      <w:r>
        <w:rPr>
          <w:rFonts w:hint="eastAsia"/>
        </w:rPr>
        <w:t>GB/T 1605</w:t>
      </w:r>
      <w:r>
        <w:rPr>
          <w:rFonts w:hAnsi="宋体"/>
        </w:rPr>
        <w:t>—</w:t>
      </w:r>
      <w:r>
        <w:rPr>
          <w:rFonts w:hint="eastAsia"/>
        </w:rPr>
        <w:t>2001</w:t>
      </w:r>
      <w:r>
        <w:t xml:space="preserve"> </w:t>
      </w:r>
      <w:r>
        <w:rPr>
          <w:rFonts w:hint="eastAsia"/>
        </w:rPr>
        <w:t>商品农药采样方法</w:t>
      </w:r>
    </w:p>
    <w:p w14:paraId="7BFA1A4F">
      <w:pPr>
        <w:pStyle w:val="21"/>
        <w:widowControl w:val="0"/>
        <w:rPr>
          <w:rFonts w:hint="eastAsia"/>
        </w:rPr>
      </w:pPr>
      <w:r>
        <w:t>GB 3796</w:t>
      </w:r>
      <w:r>
        <w:rPr>
          <w:rFonts w:hint="eastAsia"/>
        </w:rPr>
        <w:t xml:space="preserve"> 农药包装通则 </w:t>
      </w:r>
    </w:p>
    <w:p w14:paraId="5CDB4542">
      <w:pPr>
        <w:pStyle w:val="21"/>
        <w:widowControl w:val="0"/>
        <w:rPr>
          <w:rFonts w:hint="eastAsia"/>
        </w:rPr>
      </w:pPr>
      <w:r>
        <w:t xml:space="preserve">GB/T </w:t>
      </w:r>
      <w:r>
        <w:rPr>
          <w:rFonts w:hint="eastAsia"/>
        </w:rPr>
        <w:t>8170</w:t>
      </w:r>
      <w:r>
        <w:rPr>
          <w:rFonts w:hAnsi="宋体"/>
        </w:rPr>
        <w:t>—</w:t>
      </w:r>
      <w:r>
        <w:rPr>
          <w:rFonts w:hint="eastAsia"/>
        </w:rPr>
        <w:t>2008 数值修约规则与极限数值的表示和判定</w:t>
      </w:r>
    </w:p>
    <w:p w14:paraId="2BF8842D">
      <w:pPr>
        <w:pStyle w:val="21"/>
        <w:widowControl w:val="0"/>
        <w:rPr>
          <w:rFonts w:hint="eastAsia"/>
        </w:rPr>
      </w:pPr>
      <w:r>
        <w:rPr>
          <w:rFonts w:hint="eastAsia"/>
        </w:rPr>
        <w:t>GB/T 16150</w:t>
      </w:r>
      <w:r>
        <w:rPr>
          <w:rFonts w:hAnsi="宋体"/>
        </w:rPr>
        <w:t>—</w:t>
      </w:r>
      <w:r>
        <w:rPr>
          <w:rFonts w:hint="eastAsia"/>
        </w:rPr>
        <w:t>1995 农药粉剂、可湿性粉剂细度测定方法</w:t>
      </w:r>
    </w:p>
    <w:p w14:paraId="6AD0D582">
      <w:pPr>
        <w:pStyle w:val="21"/>
        <w:rPr>
          <w:rFonts w:hint="eastAsia" w:hAnsi="宋体"/>
        </w:rPr>
      </w:pPr>
      <w:r>
        <w:rPr>
          <w:rFonts w:hint="eastAsia" w:hAnsi="宋体"/>
        </w:rPr>
        <w:t>GB/T 19136</w:t>
      </w:r>
      <w:r>
        <w:rPr>
          <w:rFonts w:hAnsi="宋体"/>
        </w:rPr>
        <w:t>—</w:t>
      </w:r>
      <w:r>
        <w:rPr>
          <w:rFonts w:hint="eastAsia" w:hAnsi="宋体"/>
        </w:rPr>
        <w:t xml:space="preserve">2021 农药热储稳定性测定方法 </w:t>
      </w:r>
    </w:p>
    <w:p w14:paraId="5181D93D">
      <w:pPr>
        <w:pStyle w:val="21"/>
        <w:rPr>
          <w:rFonts w:hint="eastAsia"/>
        </w:rPr>
      </w:pPr>
      <w:r>
        <w:rPr>
          <w:rFonts w:hint="eastAsia"/>
        </w:rPr>
        <w:t>GB/T 19137 农药低温稳定性测定方法</w:t>
      </w:r>
    </w:p>
    <w:p w14:paraId="113F1F62">
      <w:pPr>
        <w:pStyle w:val="21"/>
        <w:widowControl w:val="0"/>
        <w:rPr>
          <w:rFonts w:hint="eastAsia"/>
        </w:rPr>
      </w:pPr>
      <w:r>
        <w:rPr>
          <w:rFonts w:hint="eastAsia"/>
        </w:rPr>
        <w:t>GB/T 28137 农药持久起泡性测定方法</w:t>
      </w:r>
    </w:p>
    <w:p w14:paraId="604926F1">
      <w:pPr>
        <w:pStyle w:val="21"/>
        <w:widowControl w:val="0"/>
      </w:pPr>
      <w:r>
        <w:rPr>
          <w:rFonts w:hint="eastAsia"/>
        </w:rPr>
        <w:t>GB/T 31737 农药倾倒性测定方法</w:t>
      </w:r>
    </w:p>
    <w:p w14:paraId="026C6DF8">
      <w:pPr>
        <w:pStyle w:val="21"/>
        <w:rPr>
          <w:rFonts w:hint="eastAsia"/>
        </w:rPr>
      </w:pPr>
      <w:r>
        <w:rPr>
          <w:rFonts w:hint="eastAsia"/>
        </w:rPr>
        <w:t xml:space="preserve">GB/T </w:t>
      </w:r>
      <w:r>
        <w:t>32776</w:t>
      </w:r>
      <w:r>
        <w:rPr>
          <w:rFonts w:hAnsi="宋体"/>
        </w:rPr>
        <w:t>—</w:t>
      </w:r>
      <w:r>
        <w:t>2016</w:t>
      </w:r>
      <w:r>
        <w:rPr>
          <w:rFonts w:hint="eastAsia"/>
        </w:rPr>
        <w:t xml:space="preserve"> 农药密度</w:t>
      </w:r>
      <w:r>
        <w:t>的</w:t>
      </w:r>
      <w:r>
        <w:rPr>
          <w:rFonts w:hint="eastAsia"/>
        </w:rPr>
        <w:t>测定方法</w:t>
      </w:r>
    </w:p>
    <w:p w14:paraId="56EB8569">
      <w:pPr>
        <w:pStyle w:val="21"/>
        <w:rPr>
          <w:rFonts w:hint="eastAsia"/>
        </w:rPr>
      </w:pPr>
      <w:r>
        <w:rPr>
          <w:rFonts w:ascii="宋体" w:hAnsi="宋体" w:eastAsia="宋体"/>
        </w:rPr>
        <w:t xml:space="preserve">GB/T </w:t>
      </w:r>
      <w:r>
        <w:rPr>
          <w:rFonts w:hint="eastAsia" w:ascii="宋体" w:hAnsi="宋体" w:eastAsia="宋体"/>
          <w:lang w:val="en-US" w:eastAsia="zh-CN"/>
        </w:rPr>
        <w:t>43167 农药检测用标准硬水</w:t>
      </w:r>
    </w:p>
    <w:p w14:paraId="44BA2BF2">
      <w:pPr>
        <w:pStyle w:val="50"/>
      </w:pPr>
      <w:bookmarkStart w:id="53" w:name="_Toc188070593"/>
      <w:bookmarkStart w:id="54" w:name="_Toc496876276"/>
      <w:bookmarkStart w:id="55" w:name="_Toc465776942"/>
      <w:bookmarkStart w:id="56" w:name="_Toc465682843"/>
      <w:bookmarkStart w:id="57" w:name="_Toc465930217"/>
      <w:bookmarkStart w:id="58" w:name="_Toc463858430"/>
      <w:bookmarkStart w:id="59" w:name="_Toc494273384"/>
      <w:bookmarkStart w:id="60" w:name="_Toc496808858"/>
      <w:bookmarkStart w:id="61" w:name="_Toc188041021"/>
      <w:bookmarkStart w:id="62" w:name="_Toc463860751"/>
      <w:r>
        <w:rPr>
          <w:rFonts w:hint="eastAsia"/>
        </w:rPr>
        <w:t>术语和定义</w:t>
      </w:r>
    </w:p>
    <w:p w14:paraId="35C0F3B4">
      <w:pPr>
        <w:pStyle w:val="21"/>
        <w:rPr>
          <w:rFonts w:hint="eastAsia"/>
        </w:rPr>
      </w:pPr>
      <w:r>
        <w:rPr>
          <w:rFonts w:hint="eastAsia"/>
        </w:rPr>
        <w:t>本文件没有需要界定的术语和定义。</w:t>
      </w:r>
    </w:p>
    <w:p w14:paraId="1AC05E67">
      <w:pPr>
        <w:pStyle w:val="50"/>
        <w:rPr>
          <w:rFonts w:hint="eastAsia"/>
        </w:rPr>
      </w:pPr>
      <w:r>
        <w:rPr>
          <w:rFonts w:hint="eastAsia"/>
        </w:rPr>
        <w:t>技术要求</w:t>
      </w:r>
      <w:bookmarkEnd w:id="53"/>
      <w:bookmarkEnd w:id="54"/>
      <w:bookmarkEnd w:id="55"/>
      <w:bookmarkEnd w:id="56"/>
      <w:bookmarkEnd w:id="57"/>
      <w:bookmarkEnd w:id="58"/>
      <w:bookmarkEnd w:id="59"/>
      <w:bookmarkEnd w:id="60"/>
      <w:bookmarkEnd w:id="61"/>
      <w:bookmarkEnd w:id="62"/>
    </w:p>
    <w:p w14:paraId="5940D229">
      <w:pPr>
        <w:pStyle w:val="42"/>
        <w:rPr>
          <w:rFonts w:hint="eastAsia"/>
        </w:rPr>
      </w:pPr>
      <w:bookmarkStart w:id="63" w:name="_Toc494273385"/>
      <w:bookmarkStart w:id="64" w:name="_Toc188041022"/>
      <w:r>
        <w:rPr>
          <w:rFonts w:hint="eastAsia"/>
        </w:rPr>
        <w:t>外观</w:t>
      </w:r>
      <w:bookmarkEnd w:id="63"/>
      <w:bookmarkEnd w:id="64"/>
    </w:p>
    <w:p w14:paraId="7E439D77">
      <w:pPr>
        <w:pStyle w:val="21"/>
        <w:rPr>
          <w:rFonts w:hAnsi="宋体"/>
          <w:szCs w:val="21"/>
        </w:rPr>
      </w:pPr>
      <w:r>
        <w:rPr>
          <w:rFonts w:hint="eastAsia" w:hAnsi="宋体"/>
          <w:szCs w:val="21"/>
        </w:rPr>
        <w:t>可流动的、易测量体积的悬浮液体，存放过程中可能出现沉淀，但经摇动后，应恢复原状，不应有结块。</w:t>
      </w:r>
    </w:p>
    <w:p w14:paraId="55168064">
      <w:pPr>
        <w:pStyle w:val="42"/>
        <w:rPr>
          <w:rFonts w:hint="eastAsia"/>
        </w:rPr>
      </w:pPr>
      <w:bookmarkStart w:id="65" w:name="_Toc188041023"/>
      <w:bookmarkStart w:id="66" w:name="_Toc494273386"/>
      <w:r>
        <w:rPr>
          <w:rFonts w:hint="eastAsia"/>
        </w:rPr>
        <w:t>技术指标</w:t>
      </w:r>
      <w:bookmarkEnd w:id="65"/>
      <w:bookmarkEnd w:id="66"/>
    </w:p>
    <w:p w14:paraId="606D40C9">
      <w:pPr>
        <w:pStyle w:val="21"/>
      </w:pPr>
      <w:r>
        <w:rPr>
          <w:rFonts w:hint="eastAsia"/>
          <w:lang w:eastAsia="zh-CN"/>
        </w:rPr>
        <w:t>唑啉草酯可分散油悬浮剂</w:t>
      </w:r>
      <w:r>
        <w:rPr>
          <w:rFonts w:hint="eastAsia"/>
        </w:rPr>
        <w:t>应符合表1要求。</w:t>
      </w:r>
    </w:p>
    <w:p w14:paraId="48A3F81D">
      <w:pPr>
        <w:pStyle w:val="115"/>
      </w:pPr>
      <w:r>
        <w:rPr>
          <w:rFonts w:hint="eastAsia"/>
          <w:lang w:eastAsia="zh-CN"/>
        </w:rPr>
        <w:t>唑啉草酯可分散油悬浮剂</w:t>
      </w:r>
      <w:r>
        <w:rPr>
          <w:rFonts w:hint="eastAsia"/>
        </w:rPr>
        <w:t>技术指标</w:t>
      </w:r>
    </w:p>
    <w:tbl>
      <w:tblPr>
        <w:tblStyle w:val="30"/>
        <w:tblW w:w="89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635"/>
        <w:gridCol w:w="1225"/>
        <w:gridCol w:w="1826"/>
        <w:gridCol w:w="2268"/>
        <w:gridCol w:w="1913"/>
      </w:tblGrid>
      <w:tr w14:paraId="4B91AA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4750" w:type="dxa"/>
            <w:gridSpan w:val="4"/>
            <w:vMerge w:val="restart"/>
            <w:tcBorders>
              <w:top w:val="single" w:color="auto" w:sz="8" w:space="0"/>
            </w:tcBorders>
            <w:noWrap w:val="0"/>
            <w:vAlign w:val="center"/>
          </w:tcPr>
          <w:p w14:paraId="24C4D271">
            <w:pPr>
              <w:jc w:val="center"/>
              <w:rPr>
                <w:rFonts w:hint="eastAsia" w:ascii="宋体" w:hAnsi="宋体" w:eastAsia="宋体" w:cs="宋体"/>
                <w:sz w:val="18"/>
                <w:szCs w:val="18"/>
              </w:rPr>
            </w:pPr>
            <w:bookmarkStart w:id="67" w:name="_Hlk181003670"/>
            <w:r>
              <w:rPr>
                <w:rFonts w:hint="eastAsia" w:ascii="宋体" w:hAnsi="宋体" w:eastAsia="宋体" w:cs="宋体"/>
                <w:sz w:val="18"/>
                <w:szCs w:val="18"/>
              </w:rPr>
              <w:t>项     目</w:t>
            </w:r>
          </w:p>
        </w:tc>
        <w:tc>
          <w:tcPr>
            <w:tcW w:w="4181" w:type="dxa"/>
            <w:gridSpan w:val="2"/>
            <w:tcBorders>
              <w:top w:val="single" w:color="auto" w:sz="8" w:space="0"/>
            </w:tcBorders>
            <w:noWrap w:val="0"/>
            <w:vAlign w:val="center"/>
          </w:tcPr>
          <w:p w14:paraId="4ABA7B1C">
            <w:pPr>
              <w:jc w:val="center"/>
              <w:rPr>
                <w:rFonts w:hint="eastAsia" w:ascii="宋体" w:hAnsi="宋体" w:eastAsia="宋体" w:cs="宋体"/>
                <w:sz w:val="18"/>
                <w:szCs w:val="18"/>
              </w:rPr>
            </w:pPr>
            <w:r>
              <w:rPr>
                <w:rFonts w:hint="eastAsia" w:ascii="宋体" w:hAnsi="宋体" w:eastAsia="宋体" w:cs="宋体"/>
                <w:sz w:val="18"/>
                <w:szCs w:val="18"/>
              </w:rPr>
              <w:t>指        标</w:t>
            </w:r>
          </w:p>
        </w:tc>
      </w:tr>
      <w:tr w14:paraId="1E43BB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750" w:type="dxa"/>
            <w:gridSpan w:val="4"/>
            <w:vMerge w:val="continue"/>
            <w:noWrap w:val="0"/>
            <w:vAlign w:val="center"/>
          </w:tcPr>
          <w:p w14:paraId="1BEEBF0E">
            <w:pPr>
              <w:jc w:val="center"/>
              <w:rPr>
                <w:rFonts w:hint="eastAsia" w:ascii="宋体" w:hAnsi="宋体" w:eastAsia="宋体" w:cs="宋体"/>
                <w:sz w:val="18"/>
                <w:szCs w:val="18"/>
              </w:rPr>
            </w:pPr>
          </w:p>
        </w:tc>
        <w:tc>
          <w:tcPr>
            <w:tcW w:w="2268" w:type="dxa"/>
            <w:tcBorders>
              <w:top w:val="single" w:color="auto" w:sz="8" w:space="0"/>
            </w:tcBorders>
            <w:noWrap w:val="0"/>
            <w:vAlign w:val="center"/>
          </w:tcPr>
          <w:p w14:paraId="4C891592">
            <w:pPr>
              <w:jc w:val="center"/>
              <w:rPr>
                <w:rFonts w:hint="eastAsia" w:ascii="宋体" w:hAnsi="宋体" w:eastAsia="宋体" w:cs="宋体"/>
                <w:sz w:val="18"/>
                <w:szCs w:val="18"/>
              </w:rPr>
            </w:pPr>
            <w:r>
              <w:rPr>
                <w:rFonts w:hint="eastAsia" w:ascii="宋体" w:hAnsi="宋体" w:eastAsia="宋体" w:cs="宋体"/>
                <w:sz w:val="18"/>
                <w:szCs w:val="18"/>
              </w:rPr>
              <w:t>10%规格</w:t>
            </w:r>
          </w:p>
        </w:tc>
        <w:tc>
          <w:tcPr>
            <w:tcW w:w="1913" w:type="dxa"/>
            <w:tcBorders>
              <w:top w:val="single" w:color="auto" w:sz="8" w:space="0"/>
            </w:tcBorders>
            <w:noWrap w:val="0"/>
            <w:vAlign w:val="center"/>
          </w:tcPr>
          <w:p w14:paraId="6597FED3">
            <w:pPr>
              <w:jc w:val="center"/>
              <w:rPr>
                <w:rFonts w:hint="eastAsia" w:ascii="宋体" w:hAnsi="宋体" w:eastAsia="宋体" w:cs="宋体"/>
                <w:sz w:val="18"/>
                <w:szCs w:val="18"/>
              </w:rPr>
            </w:pPr>
            <w:r>
              <w:rPr>
                <w:rFonts w:hint="eastAsia" w:ascii="宋体" w:hAnsi="宋体" w:eastAsia="宋体" w:cs="宋体"/>
                <w:sz w:val="18"/>
                <w:szCs w:val="18"/>
              </w:rPr>
              <w:t>20%规格</w:t>
            </w:r>
          </w:p>
        </w:tc>
      </w:tr>
      <w:tr w14:paraId="04C17A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50" w:type="dxa"/>
            <w:gridSpan w:val="4"/>
            <w:noWrap w:val="0"/>
            <w:vAlign w:val="center"/>
          </w:tcPr>
          <w:p w14:paraId="3723BC1E">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唑啉草酯质量分数</w:t>
            </w:r>
            <w:r>
              <w:rPr>
                <w:rFonts w:hint="eastAsia" w:ascii="宋体" w:hAnsi="宋体" w:eastAsia="宋体" w:cs="宋体"/>
                <w:sz w:val="18"/>
                <w:szCs w:val="18"/>
                <w:lang w:val="en-US" w:eastAsia="zh-CN"/>
              </w:rPr>
              <w:t>/</w:t>
            </w:r>
            <w:r>
              <w:rPr>
                <w:rFonts w:hint="eastAsia" w:ascii="宋体" w:hAnsi="宋体" w:eastAsia="宋体" w:cs="宋体"/>
                <w:sz w:val="18"/>
                <w:szCs w:val="18"/>
              </w:rPr>
              <w:t xml:space="preserve">%                         </w:t>
            </w:r>
          </w:p>
        </w:tc>
        <w:tc>
          <w:tcPr>
            <w:tcW w:w="2268" w:type="dxa"/>
            <w:noWrap w:val="0"/>
            <w:vAlign w:val="center"/>
          </w:tcPr>
          <w:p w14:paraId="4306C463">
            <w:pPr>
              <w:pStyle w:val="21"/>
              <w:ind w:firstLine="0" w:firstLineChars="0"/>
              <w:jc w:val="center"/>
              <w:rPr>
                <w:rFonts w:hint="eastAsia" w:ascii="宋体" w:hAnsi="宋体" w:eastAsia="宋体" w:cs="宋体"/>
                <w:sz w:val="18"/>
                <w:szCs w:val="18"/>
              </w:rPr>
            </w:pPr>
            <w:r>
              <w:rPr>
                <w:rFonts w:hint="eastAsia" w:ascii="宋体" w:hAnsi="宋体" w:eastAsia="宋体" w:cs="宋体"/>
                <w:kern w:val="2"/>
                <w:sz w:val="18"/>
                <w:szCs w:val="18"/>
                <w:lang w:bidi="ar"/>
              </w:rPr>
              <w:t>10.0</w:t>
            </w:r>
            <w:r>
              <w:rPr>
                <w:rFonts w:hint="eastAsia" w:ascii="宋体" w:hAnsi="宋体" w:eastAsia="宋体" w:cs="宋体"/>
                <w:sz w:val="18"/>
                <w:szCs w:val="18"/>
              </w:rPr>
              <w:t>±1.0</w:t>
            </w:r>
          </w:p>
        </w:tc>
        <w:tc>
          <w:tcPr>
            <w:tcW w:w="1913" w:type="dxa"/>
            <w:noWrap w:val="0"/>
            <w:vAlign w:val="center"/>
          </w:tcPr>
          <w:p w14:paraId="6BBBB28A">
            <w:pPr>
              <w:pStyle w:val="21"/>
              <w:ind w:firstLine="0" w:firstLineChars="0"/>
              <w:jc w:val="center"/>
              <w:rPr>
                <w:rFonts w:hint="eastAsia" w:ascii="宋体" w:hAnsi="宋体" w:eastAsia="宋体" w:cs="宋体"/>
                <w:sz w:val="18"/>
                <w:szCs w:val="18"/>
              </w:rPr>
            </w:pPr>
            <w:r>
              <w:rPr>
                <w:rFonts w:hint="eastAsia" w:ascii="宋体" w:hAnsi="宋体" w:eastAsia="宋体" w:cs="宋体"/>
                <w:kern w:val="2"/>
                <w:sz w:val="18"/>
                <w:szCs w:val="18"/>
                <w:lang w:bidi="ar"/>
              </w:rPr>
              <w:t>20.0</w:t>
            </w:r>
            <w:r>
              <w:rPr>
                <w:rFonts w:hint="eastAsia" w:ascii="宋体" w:hAnsi="宋体" w:eastAsia="宋体" w:cs="宋体"/>
                <w:sz w:val="18"/>
                <w:szCs w:val="18"/>
              </w:rPr>
              <w:t>±1.2</w:t>
            </w:r>
          </w:p>
        </w:tc>
      </w:tr>
      <w:tr w14:paraId="06BDB2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50" w:type="dxa"/>
            <w:gridSpan w:val="4"/>
            <w:noWrap w:val="0"/>
            <w:vAlign w:val="center"/>
          </w:tcPr>
          <w:p w14:paraId="0157B9DC">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唑啉草酯质量浓度</w:t>
            </w:r>
            <w:r>
              <w:rPr>
                <w:rFonts w:hint="eastAsia" w:ascii="宋体" w:hAnsi="宋体" w:eastAsia="宋体" w:cs="宋体"/>
                <w:sz w:val="18"/>
                <w:szCs w:val="18"/>
                <w:vertAlign w:val="superscript"/>
              </w:rPr>
              <w:t>a</w:t>
            </w:r>
            <w:r>
              <w:rPr>
                <w:rFonts w:hint="eastAsia" w:ascii="宋体" w:hAnsi="宋体" w:eastAsia="宋体" w:cs="宋体"/>
                <w:sz w:val="18"/>
                <w:szCs w:val="18"/>
              </w:rPr>
              <w:t xml:space="preserve"> (20 ℃)</w:t>
            </w:r>
            <w:r>
              <w:rPr>
                <w:rFonts w:hint="eastAsia" w:ascii="宋体" w:hAnsi="宋体" w:eastAsia="宋体" w:cs="宋体"/>
                <w:sz w:val="18"/>
                <w:szCs w:val="18"/>
                <w:lang w:val="en-US" w:eastAsia="zh-CN"/>
              </w:rPr>
              <w:t>/（</w:t>
            </w:r>
            <w:r>
              <w:rPr>
                <w:rFonts w:hint="eastAsia" w:ascii="宋体" w:hAnsi="宋体" w:eastAsia="宋体" w:cs="宋体"/>
                <w:sz w:val="18"/>
                <w:szCs w:val="18"/>
              </w:rPr>
              <w:t>g/L</w:t>
            </w:r>
            <w:r>
              <w:rPr>
                <w:rFonts w:hint="eastAsia" w:ascii="宋体" w:hAnsi="宋体" w:eastAsia="宋体" w:cs="宋体"/>
                <w:sz w:val="18"/>
                <w:szCs w:val="18"/>
                <w:lang w:val="en-US" w:eastAsia="zh-CN"/>
              </w:rPr>
              <w:t>）</w:t>
            </w:r>
            <w:r>
              <w:rPr>
                <w:rFonts w:hint="eastAsia" w:ascii="宋体" w:hAnsi="宋体" w:eastAsia="宋体" w:cs="宋体"/>
                <w:sz w:val="18"/>
                <w:szCs w:val="18"/>
              </w:rPr>
              <w:t xml:space="preserve">                         </w:t>
            </w:r>
          </w:p>
        </w:tc>
        <w:tc>
          <w:tcPr>
            <w:tcW w:w="2268" w:type="dxa"/>
            <w:noWrap w:val="0"/>
            <w:vAlign w:val="center"/>
          </w:tcPr>
          <w:p w14:paraId="3AD5D553">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95±9</w:t>
            </w:r>
          </w:p>
        </w:tc>
        <w:tc>
          <w:tcPr>
            <w:tcW w:w="1913" w:type="dxa"/>
            <w:noWrap w:val="0"/>
            <w:vAlign w:val="center"/>
          </w:tcPr>
          <w:p w14:paraId="28ED70CB">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190±11</w:t>
            </w:r>
          </w:p>
        </w:tc>
      </w:tr>
      <w:tr w14:paraId="42FABC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50" w:type="dxa"/>
            <w:gridSpan w:val="4"/>
            <w:noWrap w:val="0"/>
            <w:vAlign w:val="top"/>
          </w:tcPr>
          <w:p w14:paraId="148F9DD9">
            <w:pPr>
              <w:rPr>
                <w:rFonts w:hint="eastAsia" w:ascii="宋体" w:hAnsi="宋体" w:eastAsia="宋体" w:cs="宋体"/>
                <w:sz w:val="18"/>
                <w:szCs w:val="18"/>
              </w:rPr>
            </w:pPr>
            <w:r>
              <w:rPr>
                <w:rFonts w:hint="eastAsia" w:ascii="宋体" w:hAnsi="宋体" w:eastAsia="宋体" w:cs="宋体"/>
                <w:sz w:val="18"/>
                <w:szCs w:val="18"/>
              </w:rPr>
              <w:t>解草酯质量分数</w:t>
            </w:r>
            <w:r>
              <w:rPr>
                <w:rFonts w:hint="eastAsia" w:ascii="宋体" w:hAnsi="宋体" w:eastAsia="宋体" w:cs="宋体"/>
                <w:sz w:val="18"/>
                <w:szCs w:val="18"/>
                <w:lang w:val="en-US" w:eastAsia="zh-CN"/>
              </w:rPr>
              <w:t>/</w:t>
            </w:r>
            <w:r>
              <w:rPr>
                <w:rFonts w:hint="eastAsia" w:ascii="宋体" w:hAnsi="宋体" w:eastAsia="宋体" w:cs="宋体"/>
                <w:sz w:val="18"/>
                <w:szCs w:val="18"/>
              </w:rPr>
              <w:t>%</w:t>
            </w:r>
          </w:p>
        </w:tc>
        <w:tc>
          <w:tcPr>
            <w:tcW w:w="2268" w:type="dxa"/>
            <w:noWrap w:val="0"/>
            <w:vAlign w:val="top"/>
          </w:tcPr>
          <w:p w14:paraId="298FBAA2">
            <w:pPr>
              <w:jc w:val="center"/>
              <w:rPr>
                <w:rFonts w:hint="eastAsia" w:ascii="宋体" w:hAnsi="宋体" w:eastAsia="宋体" w:cs="宋体"/>
                <w:sz w:val="18"/>
                <w:szCs w:val="18"/>
              </w:rPr>
            </w:pPr>
            <w:r>
              <w:rPr>
                <w:rFonts w:hint="eastAsia" w:ascii="宋体" w:hAnsi="宋体" w:eastAsia="宋体" w:cs="宋体"/>
                <w:sz w:val="18"/>
                <w:szCs w:val="18"/>
                <w:lang w:bidi="ar"/>
              </w:rPr>
              <w:t>2.5</w:t>
            </w:r>
            <w:r>
              <w:rPr>
                <w:rFonts w:hint="eastAsia" w:ascii="宋体" w:hAnsi="宋体" w:eastAsia="宋体" w:cs="宋体"/>
                <w:sz w:val="18"/>
                <w:szCs w:val="18"/>
              </w:rPr>
              <w:t>±0.3</w:t>
            </w:r>
          </w:p>
        </w:tc>
        <w:tc>
          <w:tcPr>
            <w:tcW w:w="1913" w:type="dxa"/>
            <w:noWrap w:val="0"/>
            <w:vAlign w:val="top"/>
          </w:tcPr>
          <w:p w14:paraId="39F050BB">
            <w:pPr>
              <w:jc w:val="center"/>
              <w:rPr>
                <w:rFonts w:hint="eastAsia" w:ascii="宋体" w:hAnsi="宋体" w:eastAsia="宋体" w:cs="宋体"/>
                <w:sz w:val="18"/>
                <w:szCs w:val="18"/>
              </w:rPr>
            </w:pPr>
            <w:r>
              <w:rPr>
                <w:rFonts w:hint="eastAsia" w:ascii="宋体" w:hAnsi="宋体" w:eastAsia="宋体" w:cs="宋体"/>
                <w:sz w:val="18"/>
                <w:szCs w:val="18"/>
                <w:lang w:bidi="ar"/>
              </w:rPr>
              <w:t>5.0</w:t>
            </w:r>
            <w:r>
              <w:rPr>
                <w:rFonts w:hint="eastAsia" w:ascii="宋体" w:hAnsi="宋体" w:eastAsia="宋体" w:cs="宋体"/>
                <w:sz w:val="18"/>
                <w:szCs w:val="18"/>
              </w:rPr>
              <w:t>±0.5</w:t>
            </w:r>
          </w:p>
        </w:tc>
      </w:tr>
      <w:tr w14:paraId="1C6843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50" w:type="dxa"/>
            <w:gridSpan w:val="4"/>
            <w:noWrap w:val="0"/>
            <w:vAlign w:val="top"/>
          </w:tcPr>
          <w:p w14:paraId="1EB8AA74">
            <w:pPr>
              <w:rPr>
                <w:rFonts w:hint="eastAsia" w:ascii="宋体" w:hAnsi="宋体" w:eastAsia="宋体" w:cs="宋体"/>
                <w:sz w:val="18"/>
                <w:szCs w:val="18"/>
              </w:rPr>
            </w:pPr>
            <w:r>
              <w:rPr>
                <w:rFonts w:hint="eastAsia" w:ascii="宋体" w:hAnsi="宋体" w:eastAsia="宋体" w:cs="宋体"/>
                <w:sz w:val="18"/>
                <w:szCs w:val="18"/>
              </w:rPr>
              <w:t>水分</w:t>
            </w:r>
            <w:r>
              <w:rPr>
                <w:rFonts w:hint="eastAsia" w:ascii="宋体" w:hAnsi="宋体" w:eastAsia="宋体" w:cs="宋体"/>
                <w:sz w:val="18"/>
                <w:szCs w:val="18"/>
                <w:lang w:val="en-US" w:eastAsia="zh-CN"/>
              </w:rPr>
              <w:t>/</w:t>
            </w:r>
            <w:r>
              <w:rPr>
                <w:rFonts w:hint="eastAsia" w:ascii="宋体" w:hAnsi="宋体" w:eastAsia="宋体" w:cs="宋体"/>
                <w:sz w:val="18"/>
                <w:szCs w:val="18"/>
              </w:rPr>
              <w:t xml:space="preserve">%                                 </w:t>
            </w:r>
          </w:p>
        </w:tc>
        <w:tc>
          <w:tcPr>
            <w:tcW w:w="4181" w:type="dxa"/>
            <w:gridSpan w:val="2"/>
            <w:noWrap w:val="0"/>
            <w:vAlign w:val="top"/>
          </w:tcPr>
          <w:p w14:paraId="36205393">
            <w:pPr>
              <w:jc w:val="center"/>
              <w:rPr>
                <w:rFonts w:hint="eastAsia" w:ascii="宋体" w:hAnsi="宋体" w:eastAsia="宋体" w:cs="宋体"/>
                <w:sz w:val="18"/>
                <w:szCs w:val="18"/>
                <w:lang w:val="en-US"/>
              </w:rPr>
            </w:pPr>
            <w:r>
              <w:rPr>
                <w:rFonts w:hint="eastAsia" w:ascii="宋体" w:hAnsi="宋体" w:eastAsia="宋体" w:cs="宋体"/>
                <w:sz w:val="18"/>
                <w:szCs w:val="18"/>
                <w:highlight w:val="none"/>
              </w:rPr>
              <w:t>≤</w:t>
            </w:r>
            <w:r>
              <w:rPr>
                <w:rFonts w:hint="eastAsia" w:ascii="宋体" w:hAnsi="宋体" w:eastAsia="宋体" w:cs="宋体"/>
                <w:sz w:val="18"/>
                <w:szCs w:val="18"/>
                <w:highlight w:val="none"/>
                <w:lang w:val="en-US" w:eastAsia="zh-CN"/>
              </w:rPr>
              <w:t>3.0</w:t>
            </w:r>
          </w:p>
        </w:tc>
      </w:tr>
      <w:tr w14:paraId="25DAD1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50" w:type="dxa"/>
            <w:gridSpan w:val="4"/>
            <w:noWrap w:val="0"/>
            <w:vAlign w:val="top"/>
          </w:tcPr>
          <w:p w14:paraId="5F143132">
            <w:pPr>
              <w:pStyle w:val="21"/>
              <w:ind w:firstLine="0" w:firstLineChars="0"/>
              <w:rPr>
                <w:rFonts w:hint="eastAsia" w:ascii="宋体" w:hAnsi="宋体" w:eastAsia="宋体" w:cs="宋体"/>
                <w:sz w:val="18"/>
                <w:szCs w:val="18"/>
                <w:lang w:val="en-US" w:eastAsia="zh-CN"/>
              </w:rPr>
            </w:pPr>
            <w:r>
              <w:rPr>
                <w:rFonts w:hint="eastAsia" w:ascii="宋体" w:hAnsi="宋体" w:eastAsia="宋体" w:cs="宋体"/>
                <w:sz w:val="18"/>
                <w:szCs w:val="18"/>
              </w:rPr>
              <w:t>pH</w:t>
            </w:r>
            <w:r>
              <w:rPr>
                <w:rFonts w:hint="eastAsia" w:ascii="宋体" w:hAnsi="宋体" w:eastAsia="宋体" w:cs="宋体"/>
                <w:sz w:val="18"/>
                <w:szCs w:val="18"/>
                <w:lang w:val="en-US" w:eastAsia="zh-CN"/>
              </w:rPr>
              <w:t>值</w:t>
            </w:r>
          </w:p>
        </w:tc>
        <w:tc>
          <w:tcPr>
            <w:tcW w:w="4181" w:type="dxa"/>
            <w:gridSpan w:val="2"/>
            <w:noWrap w:val="0"/>
            <w:vAlign w:val="center"/>
          </w:tcPr>
          <w:p w14:paraId="7B54E004">
            <w:pPr>
              <w:pStyle w:val="21"/>
              <w:ind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highlight w:val="none"/>
                <w:lang w:val="en-US" w:eastAsia="zh-CN"/>
              </w:rPr>
              <w:t>3.5</w:t>
            </w:r>
            <w:r>
              <w:rPr>
                <w:rFonts w:hint="eastAsia" w:ascii="宋体" w:hAnsi="宋体" w:eastAsia="宋体" w:cs="宋体"/>
                <w:kern w:val="2"/>
                <w:sz w:val="18"/>
                <w:szCs w:val="18"/>
                <w:highlight w:val="none"/>
                <w:lang w:bidi="ar"/>
              </w:rPr>
              <w:t>～</w:t>
            </w:r>
            <w:r>
              <w:rPr>
                <w:rFonts w:hint="eastAsia" w:ascii="宋体" w:hAnsi="宋体" w:eastAsia="宋体" w:cs="宋体"/>
                <w:sz w:val="18"/>
                <w:szCs w:val="18"/>
                <w:highlight w:val="none"/>
                <w:lang w:val="en-US" w:eastAsia="zh-CN"/>
              </w:rPr>
              <w:t>6.5</w:t>
            </w:r>
          </w:p>
        </w:tc>
      </w:tr>
      <w:tr w14:paraId="26EFC7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50" w:type="dxa"/>
            <w:gridSpan w:val="4"/>
            <w:noWrap w:val="0"/>
            <w:vAlign w:val="center"/>
          </w:tcPr>
          <w:p w14:paraId="16311DD7">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 xml:space="preserve">湿筛试验(通过75 </w:t>
            </w:r>
            <w:r>
              <w:rPr>
                <w:rFonts w:hint="default" w:ascii="Times New Roman" w:hAnsi="Times New Roman" w:eastAsia="宋体" w:cs="Times New Roman"/>
                <w:sz w:val="18"/>
                <w:szCs w:val="18"/>
              </w:rPr>
              <w:t>μ</w:t>
            </w:r>
            <w:r>
              <w:rPr>
                <w:rFonts w:hint="eastAsia" w:ascii="宋体" w:hAnsi="宋体" w:eastAsia="宋体" w:cs="宋体"/>
                <w:sz w:val="18"/>
                <w:szCs w:val="18"/>
              </w:rPr>
              <w:t>m试验筛)</w:t>
            </w:r>
            <w:r>
              <w:rPr>
                <w:rFonts w:hint="eastAsia" w:hAnsi="宋体" w:eastAsia="宋体" w:cs="宋体"/>
                <w:sz w:val="18"/>
                <w:szCs w:val="18"/>
                <w:lang w:val="en-US" w:eastAsia="zh-CN"/>
              </w:rPr>
              <w:t>/</w:t>
            </w:r>
            <w:r>
              <w:rPr>
                <w:rFonts w:hint="eastAsia" w:ascii="宋体" w:hAnsi="宋体" w:eastAsia="宋体" w:cs="宋体"/>
                <w:sz w:val="18"/>
                <w:szCs w:val="18"/>
              </w:rPr>
              <w:t xml:space="preserve">%           </w:t>
            </w:r>
          </w:p>
        </w:tc>
        <w:tc>
          <w:tcPr>
            <w:tcW w:w="4181" w:type="dxa"/>
            <w:gridSpan w:val="2"/>
            <w:noWrap w:val="0"/>
            <w:vAlign w:val="center"/>
          </w:tcPr>
          <w:p w14:paraId="5E2C4A47">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≥98</w:t>
            </w:r>
          </w:p>
        </w:tc>
      </w:tr>
      <w:tr w14:paraId="57485F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50" w:type="dxa"/>
            <w:gridSpan w:val="4"/>
            <w:noWrap w:val="0"/>
            <w:vAlign w:val="center"/>
          </w:tcPr>
          <w:p w14:paraId="74CC3B74">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持久起泡性（1 min后泡沫量)</w:t>
            </w:r>
            <w:r>
              <w:rPr>
                <w:rFonts w:hint="eastAsia" w:hAnsi="宋体" w:eastAsia="宋体" w:cs="宋体"/>
                <w:sz w:val="18"/>
                <w:szCs w:val="18"/>
                <w:lang w:val="en-US" w:eastAsia="zh-CN"/>
              </w:rPr>
              <w:t>/</w:t>
            </w:r>
            <w:r>
              <w:rPr>
                <w:rFonts w:hint="eastAsia" w:ascii="宋体" w:hAnsi="宋体" w:eastAsia="宋体" w:cs="宋体"/>
                <w:sz w:val="18"/>
                <w:szCs w:val="18"/>
              </w:rPr>
              <w:t xml:space="preserve">mL          </w:t>
            </w:r>
          </w:p>
        </w:tc>
        <w:tc>
          <w:tcPr>
            <w:tcW w:w="4181" w:type="dxa"/>
            <w:gridSpan w:val="2"/>
            <w:noWrap w:val="0"/>
            <w:vAlign w:val="center"/>
          </w:tcPr>
          <w:p w14:paraId="2BBB7568">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≤60</w:t>
            </w:r>
          </w:p>
        </w:tc>
      </w:tr>
      <w:tr w14:paraId="6E793D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4" w:type="dxa"/>
            <w:vMerge w:val="restart"/>
            <w:noWrap w:val="0"/>
            <w:vAlign w:val="center"/>
          </w:tcPr>
          <w:p w14:paraId="52F8A50D">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分散</w:t>
            </w:r>
          </w:p>
          <w:p w14:paraId="18CFD2C4">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稳定性</w:t>
            </w:r>
          </w:p>
        </w:tc>
        <w:tc>
          <w:tcPr>
            <w:tcW w:w="3686" w:type="dxa"/>
            <w:gridSpan w:val="3"/>
            <w:noWrap w:val="0"/>
            <w:vAlign w:val="center"/>
          </w:tcPr>
          <w:p w14:paraId="0EE866C6">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最初分散性</w:t>
            </w:r>
          </w:p>
        </w:tc>
        <w:tc>
          <w:tcPr>
            <w:tcW w:w="4181" w:type="dxa"/>
            <w:gridSpan w:val="2"/>
            <w:noWrap w:val="0"/>
            <w:vAlign w:val="center"/>
          </w:tcPr>
          <w:p w14:paraId="0EF30115">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分散完全</w:t>
            </w:r>
          </w:p>
        </w:tc>
      </w:tr>
      <w:tr w14:paraId="43FB4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4" w:type="dxa"/>
            <w:vMerge w:val="continue"/>
            <w:noWrap w:val="0"/>
            <w:vAlign w:val="center"/>
          </w:tcPr>
          <w:p w14:paraId="4F33E54F">
            <w:pPr>
              <w:pStyle w:val="21"/>
              <w:ind w:firstLine="0" w:firstLineChars="0"/>
              <w:rPr>
                <w:rFonts w:hint="eastAsia" w:ascii="宋体" w:hAnsi="宋体" w:eastAsia="宋体" w:cs="宋体"/>
                <w:sz w:val="18"/>
                <w:szCs w:val="18"/>
              </w:rPr>
            </w:pPr>
          </w:p>
        </w:tc>
        <w:tc>
          <w:tcPr>
            <w:tcW w:w="1860" w:type="dxa"/>
            <w:gridSpan w:val="2"/>
            <w:vMerge w:val="restart"/>
            <w:noWrap w:val="0"/>
            <w:vAlign w:val="center"/>
          </w:tcPr>
          <w:p w14:paraId="3D7B9D30">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一定时间后分散性（30 min）</w:t>
            </w:r>
          </w:p>
        </w:tc>
        <w:tc>
          <w:tcPr>
            <w:tcW w:w="1826" w:type="dxa"/>
            <w:noWrap w:val="0"/>
            <w:vAlign w:val="center"/>
          </w:tcPr>
          <w:p w14:paraId="3D615260">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沉淀</w:t>
            </w:r>
            <w:r>
              <w:rPr>
                <w:rFonts w:hint="eastAsia" w:hAnsi="宋体" w:eastAsia="宋体" w:cs="宋体"/>
                <w:sz w:val="18"/>
                <w:szCs w:val="18"/>
                <w:lang w:val="en-US" w:eastAsia="zh-CN"/>
              </w:rPr>
              <w:t>/</w:t>
            </w:r>
            <w:r>
              <w:rPr>
                <w:rFonts w:hint="eastAsia" w:ascii="宋体" w:hAnsi="宋体" w:eastAsia="宋体" w:cs="宋体"/>
                <w:sz w:val="18"/>
                <w:szCs w:val="18"/>
              </w:rPr>
              <w:t>mL</w:t>
            </w:r>
          </w:p>
        </w:tc>
        <w:tc>
          <w:tcPr>
            <w:tcW w:w="4181" w:type="dxa"/>
            <w:gridSpan w:val="2"/>
            <w:noWrap w:val="0"/>
            <w:vAlign w:val="center"/>
          </w:tcPr>
          <w:p w14:paraId="5FCF6015">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val="en-US" w:eastAsia="zh-CN"/>
              </w:rPr>
              <w:t>1.</w:t>
            </w:r>
            <w:r>
              <w:rPr>
                <w:rFonts w:hint="eastAsia" w:ascii="宋体" w:hAnsi="宋体" w:eastAsia="宋体" w:cs="宋体"/>
                <w:sz w:val="18"/>
                <w:szCs w:val="18"/>
              </w:rPr>
              <w:t>0</w:t>
            </w:r>
          </w:p>
        </w:tc>
      </w:tr>
      <w:tr w14:paraId="64C01E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4" w:type="dxa"/>
            <w:vMerge w:val="continue"/>
            <w:noWrap w:val="0"/>
            <w:vAlign w:val="center"/>
          </w:tcPr>
          <w:p w14:paraId="5E773BD7">
            <w:pPr>
              <w:pStyle w:val="21"/>
              <w:ind w:firstLine="0" w:firstLineChars="0"/>
              <w:rPr>
                <w:rFonts w:hint="eastAsia" w:ascii="宋体" w:hAnsi="宋体" w:eastAsia="宋体" w:cs="宋体"/>
                <w:sz w:val="18"/>
                <w:szCs w:val="18"/>
              </w:rPr>
            </w:pPr>
          </w:p>
        </w:tc>
        <w:tc>
          <w:tcPr>
            <w:tcW w:w="1860" w:type="dxa"/>
            <w:gridSpan w:val="2"/>
            <w:vMerge w:val="continue"/>
            <w:noWrap w:val="0"/>
            <w:vAlign w:val="center"/>
          </w:tcPr>
          <w:p w14:paraId="1E6A8FBC">
            <w:pPr>
              <w:pStyle w:val="21"/>
              <w:ind w:firstLine="0" w:firstLineChars="0"/>
              <w:rPr>
                <w:rFonts w:hint="eastAsia" w:ascii="宋体" w:hAnsi="宋体" w:eastAsia="宋体" w:cs="宋体"/>
                <w:sz w:val="18"/>
                <w:szCs w:val="18"/>
              </w:rPr>
            </w:pPr>
          </w:p>
        </w:tc>
        <w:tc>
          <w:tcPr>
            <w:tcW w:w="1826" w:type="dxa"/>
            <w:noWrap w:val="0"/>
            <w:vAlign w:val="center"/>
          </w:tcPr>
          <w:p w14:paraId="4DE35641">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乳膏或浮油</w:t>
            </w:r>
            <w:r>
              <w:rPr>
                <w:rFonts w:hint="eastAsia" w:hAnsi="宋体" w:eastAsia="宋体" w:cs="宋体"/>
                <w:sz w:val="18"/>
                <w:szCs w:val="18"/>
                <w:lang w:val="en-US" w:eastAsia="zh-CN"/>
              </w:rPr>
              <w:t>/</w:t>
            </w:r>
            <w:r>
              <w:rPr>
                <w:rFonts w:hint="eastAsia" w:ascii="宋体" w:hAnsi="宋体" w:eastAsia="宋体" w:cs="宋体"/>
                <w:sz w:val="18"/>
                <w:szCs w:val="18"/>
              </w:rPr>
              <w:t>mL</w:t>
            </w:r>
          </w:p>
        </w:tc>
        <w:tc>
          <w:tcPr>
            <w:tcW w:w="4181" w:type="dxa"/>
            <w:gridSpan w:val="2"/>
            <w:noWrap w:val="0"/>
            <w:vAlign w:val="center"/>
          </w:tcPr>
          <w:p w14:paraId="3F2993CF">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val="en-US" w:eastAsia="zh-CN"/>
              </w:rPr>
              <w:t>1</w:t>
            </w:r>
            <w:r>
              <w:rPr>
                <w:rFonts w:hint="eastAsia" w:ascii="宋体" w:hAnsi="宋体" w:eastAsia="宋体" w:cs="宋体"/>
                <w:sz w:val="18"/>
                <w:szCs w:val="18"/>
              </w:rPr>
              <w:t>.0</w:t>
            </w:r>
          </w:p>
        </w:tc>
      </w:tr>
      <w:tr w14:paraId="7114C9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4" w:type="dxa"/>
            <w:vMerge w:val="continue"/>
            <w:noWrap w:val="0"/>
            <w:vAlign w:val="center"/>
          </w:tcPr>
          <w:p w14:paraId="60C91065">
            <w:pPr>
              <w:pStyle w:val="21"/>
              <w:ind w:firstLine="0" w:firstLineChars="0"/>
              <w:rPr>
                <w:rFonts w:hint="eastAsia" w:ascii="宋体" w:hAnsi="宋体" w:eastAsia="宋体" w:cs="宋体"/>
                <w:sz w:val="18"/>
                <w:szCs w:val="18"/>
              </w:rPr>
            </w:pPr>
          </w:p>
        </w:tc>
        <w:tc>
          <w:tcPr>
            <w:tcW w:w="3686" w:type="dxa"/>
            <w:gridSpan w:val="3"/>
            <w:noWrap w:val="0"/>
            <w:vAlign w:val="center"/>
          </w:tcPr>
          <w:p w14:paraId="1B66E5A6">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重新分散性（24 h）</w:t>
            </w:r>
          </w:p>
        </w:tc>
        <w:tc>
          <w:tcPr>
            <w:tcW w:w="4181" w:type="dxa"/>
            <w:gridSpan w:val="2"/>
            <w:noWrap w:val="0"/>
            <w:vAlign w:val="center"/>
          </w:tcPr>
          <w:p w14:paraId="25A631AA">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分散完全</w:t>
            </w:r>
          </w:p>
        </w:tc>
      </w:tr>
      <w:tr w14:paraId="272DCB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4" w:type="dxa"/>
            <w:vMerge w:val="continue"/>
            <w:noWrap w:val="0"/>
            <w:vAlign w:val="center"/>
          </w:tcPr>
          <w:p w14:paraId="373799C0">
            <w:pPr>
              <w:pStyle w:val="21"/>
              <w:ind w:firstLine="0" w:firstLineChars="0"/>
              <w:rPr>
                <w:rFonts w:hint="eastAsia" w:ascii="宋体" w:hAnsi="宋体" w:eastAsia="宋体" w:cs="宋体"/>
                <w:sz w:val="18"/>
                <w:szCs w:val="18"/>
              </w:rPr>
            </w:pPr>
          </w:p>
        </w:tc>
        <w:tc>
          <w:tcPr>
            <w:tcW w:w="1860" w:type="dxa"/>
            <w:gridSpan w:val="2"/>
            <w:vMerge w:val="restart"/>
            <w:noWrap w:val="0"/>
            <w:vAlign w:val="center"/>
          </w:tcPr>
          <w:p w14:paraId="0DF5651A">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重新分散性（24.5 h）</w:t>
            </w:r>
          </w:p>
        </w:tc>
        <w:tc>
          <w:tcPr>
            <w:tcW w:w="1826" w:type="dxa"/>
            <w:noWrap w:val="0"/>
            <w:vAlign w:val="center"/>
          </w:tcPr>
          <w:p w14:paraId="3DFBA85C">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沉淀</w:t>
            </w:r>
            <w:r>
              <w:rPr>
                <w:rFonts w:hint="eastAsia" w:hAnsi="宋体" w:eastAsia="宋体" w:cs="宋体"/>
                <w:sz w:val="18"/>
                <w:szCs w:val="18"/>
                <w:lang w:val="en-US" w:eastAsia="zh-CN"/>
              </w:rPr>
              <w:t>/</w:t>
            </w:r>
            <w:r>
              <w:rPr>
                <w:rFonts w:hint="eastAsia" w:ascii="宋体" w:hAnsi="宋体" w:eastAsia="宋体" w:cs="宋体"/>
                <w:sz w:val="18"/>
                <w:szCs w:val="18"/>
              </w:rPr>
              <w:t>mL</w:t>
            </w:r>
          </w:p>
        </w:tc>
        <w:tc>
          <w:tcPr>
            <w:tcW w:w="4181" w:type="dxa"/>
            <w:gridSpan w:val="2"/>
            <w:noWrap w:val="0"/>
            <w:vAlign w:val="center"/>
          </w:tcPr>
          <w:p w14:paraId="7D9169CD">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val="en-US" w:eastAsia="zh-CN"/>
              </w:rPr>
              <w:t>1</w:t>
            </w:r>
            <w:r>
              <w:rPr>
                <w:rFonts w:hint="eastAsia" w:ascii="宋体" w:hAnsi="宋体" w:eastAsia="宋体" w:cs="宋体"/>
                <w:sz w:val="18"/>
                <w:szCs w:val="18"/>
              </w:rPr>
              <w:t>.0</w:t>
            </w:r>
          </w:p>
        </w:tc>
      </w:tr>
      <w:tr w14:paraId="6492D1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4" w:type="dxa"/>
            <w:vMerge w:val="continue"/>
            <w:noWrap w:val="0"/>
            <w:vAlign w:val="center"/>
          </w:tcPr>
          <w:p w14:paraId="7690B859">
            <w:pPr>
              <w:pStyle w:val="21"/>
              <w:ind w:firstLine="0" w:firstLineChars="0"/>
              <w:rPr>
                <w:rFonts w:hint="eastAsia" w:ascii="宋体" w:hAnsi="宋体" w:eastAsia="宋体" w:cs="宋体"/>
                <w:sz w:val="18"/>
                <w:szCs w:val="18"/>
              </w:rPr>
            </w:pPr>
          </w:p>
        </w:tc>
        <w:tc>
          <w:tcPr>
            <w:tcW w:w="1860" w:type="dxa"/>
            <w:gridSpan w:val="2"/>
            <w:vMerge w:val="continue"/>
            <w:noWrap w:val="0"/>
            <w:vAlign w:val="center"/>
          </w:tcPr>
          <w:p w14:paraId="2E6166A0">
            <w:pPr>
              <w:pStyle w:val="21"/>
              <w:ind w:firstLine="0" w:firstLineChars="0"/>
              <w:rPr>
                <w:rFonts w:hint="eastAsia" w:ascii="宋体" w:hAnsi="宋体" w:eastAsia="宋体" w:cs="宋体"/>
                <w:sz w:val="18"/>
                <w:szCs w:val="18"/>
              </w:rPr>
            </w:pPr>
          </w:p>
        </w:tc>
        <w:tc>
          <w:tcPr>
            <w:tcW w:w="1826" w:type="dxa"/>
            <w:noWrap w:val="0"/>
            <w:vAlign w:val="center"/>
          </w:tcPr>
          <w:p w14:paraId="6C3673D7">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乳膏或浮油</w:t>
            </w:r>
            <w:r>
              <w:rPr>
                <w:rFonts w:hint="eastAsia" w:hAnsi="宋体" w:eastAsia="宋体" w:cs="宋体"/>
                <w:sz w:val="18"/>
                <w:szCs w:val="18"/>
                <w:lang w:val="en-US" w:eastAsia="zh-CN"/>
              </w:rPr>
              <w:t>/</w:t>
            </w:r>
            <w:r>
              <w:rPr>
                <w:rFonts w:hint="eastAsia" w:ascii="宋体" w:hAnsi="宋体" w:eastAsia="宋体" w:cs="宋体"/>
                <w:sz w:val="18"/>
                <w:szCs w:val="18"/>
              </w:rPr>
              <w:t>mL</w:t>
            </w:r>
          </w:p>
        </w:tc>
        <w:tc>
          <w:tcPr>
            <w:tcW w:w="4181" w:type="dxa"/>
            <w:gridSpan w:val="2"/>
            <w:noWrap w:val="0"/>
            <w:vAlign w:val="center"/>
          </w:tcPr>
          <w:p w14:paraId="1DAF97C1">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val="en-US" w:eastAsia="zh-CN"/>
              </w:rPr>
              <w:t>1</w:t>
            </w:r>
            <w:r>
              <w:rPr>
                <w:rFonts w:hint="eastAsia" w:ascii="宋体" w:hAnsi="宋体" w:eastAsia="宋体" w:cs="宋体"/>
                <w:sz w:val="18"/>
                <w:szCs w:val="18"/>
              </w:rPr>
              <w:t>.0</w:t>
            </w:r>
          </w:p>
        </w:tc>
      </w:tr>
      <w:tr w14:paraId="72B75F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99" w:type="dxa"/>
            <w:gridSpan w:val="2"/>
            <w:vMerge w:val="restart"/>
            <w:noWrap w:val="0"/>
            <w:vAlign w:val="center"/>
          </w:tcPr>
          <w:p w14:paraId="216F9711">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倾倒性</w:t>
            </w:r>
          </w:p>
        </w:tc>
        <w:tc>
          <w:tcPr>
            <w:tcW w:w="3051" w:type="dxa"/>
            <w:gridSpan w:val="2"/>
            <w:noWrap w:val="0"/>
            <w:vAlign w:val="center"/>
          </w:tcPr>
          <w:p w14:paraId="60C94E76">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倾倒后残余物</w:t>
            </w:r>
            <w:r>
              <w:rPr>
                <w:rFonts w:hint="eastAsia" w:hAnsi="宋体" w:eastAsia="宋体" w:cs="宋体"/>
                <w:sz w:val="18"/>
                <w:szCs w:val="18"/>
                <w:lang w:val="en-US" w:eastAsia="zh-CN"/>
              </w:rPr>
              <w:t>/</w:t>
            </w:r>
            <w:r>
              <w:rPr>
                <w:rFonts w:hint="eastAsia" w:ascii="宋体" w:hAnsi="宋体" w:eastAsia="宋体" w:cs="宋体"/>
                <w:sz w:val="18"/>
                <w:szCs w:val="18"/>
              </w:rPr>
              <w:t xml:space="preserve">%          </w:t>
            </w:r>
          </w:p>
        </w:tc>
        <w:tc>
          <w:tcPr>
            <w:tcW w:w="4181" w:type="dxa"/>
            <w:gridSpan w:val="2"/>
            <w:noWrap w:val="0"/>
            <w:vAlign w:val="center"/>
          </w:tcPr>
          <w:p w14:paraId="40570ED8">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≤5.0</w:t>
            </w:r>
          </w:p>
        </w:tc>
      </w:tr>
      <w:tr w14:paraId="7B7D92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99" w:type="dxa"/>
            <w:gridSpan w:val="2"/>
            <w:vMerge w:val="continue"/>
            <w:noWrap w:val="0"/>
            <w:vAlign w:val="center"/>
          </w:tcPr>
          <w:p w14:paraId="1D156948">
            <w:pPr>
              <w:pStyle w:val="21"/>
              <w:ind w:firstLine="0" w:firstLineChars="0"/>
              <w:rPr>
                <w:rFonts w:hint="eastAsia" w:ascii="宋体" w:hAnsi="宋体" w:eastAsia="宋体" w:cs="宋体"/>
                <w:sz w:val="18"/>
                <w:szCs w:val="18"/>
              </w:rPr>
            </w:pPr>
          </w:p>
        </w:tc>
        <w:tc>
          <w:tcPr>
            <w:tcW w:w="3051" w:type="dxa"/>
            <w:gridSpan w:val="2"/>
            <w:noWrap w:val="0"/>
            <w:vAlign w:val="center"/>
          </w:tcPr>
          <w:p w14:paraId="630DE3A5">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洗涤后残余物</w:t>
            </w:r>
            <w:r>
              <w:rPr>
                <w:rFonts w:hint="eastAsia" w:hAnsi="宋体" w:eastAsia="宋体" w:cs="宋体"/>
                <w:sz w:val="18"/>
                <w:szCs w:val="18"/>
                <w:lang w:val="en-US" w:eastAsia="zh-CN"/>
              </w:rPr>
              <w:t>/</w:t>
            </w:r>
            <w:r>
              <w:rPr>
                <w:rFonts w:hint="eastAsia" w:ascii="宋体" w:hAnsi="宋体" w:eastAsia="宋体" w:cs="宋体"/>
                <w:sz w:val="18"/>
                <w:szCs w:val="18"/>
              </w:rPr>
              <w:t xml:space="preserve">%          </w:t>
            </w:r>
          </w:p>
        </w:tc>
        <w:tc>
          <w:tcPr>
            <w:tcW w:w="4181" w:type="dxa"/>
            <w:gridSpan w:val="2"/>
            <w:noWrap w:val="0"/>
            <w:vAlign w:val="center"/>
          </w:tcPr>
          <w:p w14:paraId="589592E9">
            <w:pPr>
              <w:pStyle w:val="21"/>
              <w:ind w:firstLine="0" w:firstLineChars="0"/>
              <w:jc w:val="center"/>
              <w:rPr>
                <w:rFonts w:hint="eastAsia" w:ascii="宋体" w:hAnsi="宋体" w:eastAsia="宋体" w:cs="宋体"/>
                <w:sz w:val="18"/>
                <w:szCs w:val="18"/>
              </w:rPr>
            </w:pPr>
            <w:r>
              <w:rPr>
                <w:rFonts w:hint="eastAsia" w:ascii="宋体" w:hAnsi="宋体" w:eastAsia="宋体" w:cs="宋体"/>
                <w:sz w:val="18"/>
                <w:szCs w:val="18"/>
              </w:rPr>
              <w:t>≤0.5</w:t>
            </w:r>
          </w:p>
        </w:tc>
      </w:tr>
      <w:tr w14:paraId="4D0F99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50" w:type="dxa"/>
            <w:gridSpan w:val="4"/>
            <w:noWrap w:val="0"/>
            <w:vAlign w:val="center"/>
          </w:tcPr>
          <w:p w14:paraId="0798E104">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低温稳定性</w:t>
            </w:r>
          </w:p>
        </w:tc>
        <w:tc>
          <w:tcPr>
            <w:tcW w:w="4181" w:type="dxa"/>
            <w:gridSpan w:val="2"/>
            <w:noWrap w:val="0"/>
            <w:vAlign w:val="center"/>
          </w:tcPr>
          <w:p w14:paraId="224F6F60">
            <w:pPr>
              <w:pStyle w:val="21"/>
              <w:ind w:firstLine="0" w:firstLineChars="0"/>
              <w:jc w:val="left"/>
              <w:rPr>
                <w:rFonts w:hint="eastAsia" w:ascii="宋体" w:hAnsi="宋体" w:eastAsia="宋体" w:cs="宋体"/>
                <w:sz w:val="18"/>
                <w:szCs w:val="18"/>
              </w:rPr>
            </w:pPr>
            <w:r>
              <w:rPr>
                <w:rFonts w:hint="eastAsia" w:ascii="宋体" w:hAnsi="宋体" w:eastAsia="宋体" w:cs="宋体"/>
                <w:sz w:val="18"/>
                <w:szCs w:val="18"/>
              </w:rPr>
              <w:t>冷储后，pH</w:t>
            </w:r>
            <w:r>
              <w:rPr>
                <w:rFonts w:hint="eastAsia" w:ascii="宋体" w:hAnsi="宋体" w:eastAsia="宋体" w:cs="宋体"/>
                <w:sz w:val="18"/>
                <w:szCs w:val="18"/>
                <w:lang w:val="en-US" w:eastAsia="zh-CN"/>
              </w:rPr>
              <w:t>值</w:t>
            </w:r>
            <w:r>
              <w:rPr>
                <w:rFonts w:hint="eastAsia" w:ascii="宋体" w:hAnsi="宋体" w:eastAsia="宋体" w:cs="宋体"/>
                <w:sz w:val="18"/>
                <w:szCs w:val="18"/>
              </w:rPr>
              <w:t>、分散稳定性和湿筛试验</w:t>
            </w:r>
            <w:r>
              <w:rPr>
                <w:rFonts w:hint="eastAsia" w:ascii="宋体" w:hAnsi="宋体" w:eastAsia="宋体" w:cs="宋体"/>
                <w:color w:val="000000"/>
                <w:sz w:val="18"/>
                <w:szCs w:val="18"/>
              </w:rPr>
              <w:t>仍应符合本文件要求</w:t>
            </w:r>
            <w:r>
              <w:rPr>
                <w:rFonts w:hint="eastAsia" w:ascii="宋体" w:hAnsi="宋体" w:eastAsia="宋体" w:cs="宋体"/>
                <w:sz w:val="18"/>
                <w:szCs w:val="18"/>
              </w:rPr>
              <w:t>。</w:t>
            </w:r>
          </w:p>
        </w:tc>
      </w:tr>
      <w:tr w14:paraId="0E3524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50" w:type="dxa"/>
            <w:gridSpan w:val="4"/>
            <w:noWrap w:val="0"/>
            <w:vAlign w:val="center"/>
          </w:tcPr>
          <w:p w14:paraId="34734370">
            <w:pPr>
              <w:pStyle w:val="21"/>
              <w:ind w:firstLine="0" w:firstLineChars="0"/>
              <w:rPr>
                <w:rFonts w:hint="eastAsia" w:ascii="宋体" w:hAnsi="宋体" w:eastAsia="宋体" w:cs="宋体"/>
                <w:sz w:val="18"/>
                <w:szCs w:val="18"/>
              </w:rPr>
            </w:pPr>
            <w:r>
              <w:rPr>
                <w:rFonts w:hint="eastAsia" w:ascii="宋体" w:hAnsi="宋体" w:eastAsia="宋体" w:cs="宋体"/>
                <w:sz w:val="18"/>
                <w:szCs w:val="18"/>
              </w:rPr>
              <w:t>热储稳定性</w:t>
            </w:r>
          </w:p>
        </w:tc>
        <w:tc>
          <w:tcPr>
            <w:tcW w:w="4181" w:type="dxa"/>
            <w:gridSpan w:val="2"/>
            <w:noWrap w:val="0"/>
            <w:vAlign w:val="center"/>
          </w:tcPr>
          <w:p w14:paraId="2153FA8F">
            <w:pPr>
              <w:pStyle w:val="21"/>
              <w:ind w:firstLine="0" w:firstLineChars="0"/>
              <w:jc w:val="left"/>
              <w:rPr>
                <w:rFonts w:hint="eastAsia" w:ascii="宋体" w:hAnsi="宋体" w:eastAsia="宋体" w:cs="宋体"/>
                <w:sz w:val="18"/>
                <w:szCs w:val="18"/>
              </w:rPr>
            </w:pPr>
            <w:r>
              <w:rPr>
                <w:rFonts w:hint="eastAsia" w:ascii="宋体" w:hAnsi="宋体" w:eastAsia="宋体" w:cs="宋体"/>
                <w:sz w:val="18"/>
                <w:szCs w:val="18"/>
              </w:rPr>
              <w:t>热储后，唑啉草酯质量分数应不低于热储前的95%，解草酯质量分数、pH</w:t>
            </w:r>
            <w:r>
              <w:rPr>
                <w:rFonts w:hint="eastAsia" w:ascii="宋体" w:hAnsi="宋体" w:eastAsia="宋体" w:cs="宋体"/>
                <w:sz w:val="18"/>
                <w:szCs w:val="18"/>
                <w:lang w:val="en-US" w:eastAsia="zh-CN"/>
              </w:rPr>
              <w:t>值</w:t>
            </w:r>
            <w:r>
              <w:rPr>
                <w:rFonts w:hint="eastAsia" w:ascii="宋体" w:hAnsi="宋体" w:eastAsia="宋体" w:cs="宋体"/>
                <w:sz w:val="18"/>
                <w:szCs w:val="18"/>
              </w:rPr>
              <w:t>、湿筛试验、</w:t>
            </w:r>
            <w:r>
              <w:rPr>
                <w:rFonts w:hint="eastAsia" w:ascii="宋体" w:hAnsi="宋体" w:eastAsia="宋体" w:cs="宋体"/>
                <w:color w:val="000000"/>
                <w:sz w:val="18"/>
                <w:szCs w:val="18"/>
              </w:rPr>
              <w:t>分散稳定性</w:t>
            </w:r>
            <w:r>
              <w:rPr>
                <w:rFonts w:hint="eastAsia" w:ascii="宋体" w:hAnsi="宋体" w:eastAsia="宋体" w:cs="宋体"/>
                <w:sz w:val="18"/>
                <w:szCs w:val="18"/>
              </w:rPr>
              <w:t>和倾倒性仍应符合本文件要求。</w:t>
            </w:r>
          </w:p>
        </w:tc>
      </w:tr>
      <w:tr w14:paraId="6A68BA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931" w:type="dxa"/>
            <w:gridSpan w:val="6"/>
            <w:noWrap w:val="0"/>
            <w:vAlign w:val="center"/>
          </w:tcPr>
          <w:p w14:paraId="2856A2E3">
            <w:pPr>
              <w:pStyle w:val="21"/>
              <w:ind w:firstLine="0" w:firstLineChars="0"/>
              <w:jc w:val="left"/>
              <w:rPr>
                <w:rFonts w:hint="eastAsia" w:ascii="宋体" w:hAnsi="宋体" w:eastAsia="宋体" w:cs="宋体"/>
                <w:sz w:val="18"/>
                <w:szCs w:val="18"/>
              </w:rPr>
            </w:pPr>
            <w:r>
              <w:rPr>
                <w:rFonts w:hint="eastAsia" w:ascii="宋体" w:hAnsi="宋体" w:eastAsia="宋体" w:cs="宋体"/>
                <w:sz w:val="18"/>
                <w:szCs w:val="18"/>
                <w:vertAlign w:val="superscript"/>
              </w:rPr>
              <w:t xml:space="preserve">a  </w:t>
            </w:r>
            <w:r>
              <w:rPr>
                <w:rFonts w:hint="eastAsia" w:ascii="宋体" w:hAnsi="宋体" w:eastAsia="宋体" w:cs="宋体"/>
                <w:sz w:val="18"/>
                <w:szCs w:val="18"/>
              </w:rPr>
              <w:t>当以质量分数和以质量浓度表示的结果不能同时满足本文件要求时，按质量分数的结果判定产品是否合格。</w:t>
            </w:r>
          </w:p>
        </w:tc>
      </w:tr>
      <w:bookmarkEnd w:id="67"/>
    </w:tbl>
    <w:p w14:paraId="19BF890F">
      <w:pPr>
        <w:pStyle w:val="50"/>
        <w:rPr>
          <w:rFonts w:hint="eastAsia"/>
        </w:rPr>
      </w:pPr>
      <w:bookmarkStart w:id="68" w:name="_Toc463858431"/>
      <w:bookmarkStart w:id="69" w:name="_Toc465682844"/>
      <w:bookmarkStart w:id="70" w:name="_Toc494273387"/>
      <w:bookmarkStart w:id="71" w:name="_Toc188070594"/>
      <w:bookmarkStart w:id="72" w:name="_Toc496808859"/>
      <w:bookmarkStart w:id="73" w:name="_Toc465930218"/>
      <w:bookmarkStart w:id="74" w:name="_Toc188041024"/>
      <w:bookmarkStart w:id="75" w:name="_Toc465776943"/>
      <w:bookmarkStart w:id="76" w:name="_Toc496876277"/>
      <w:bookmarkStart w:id="77" w:name="_Toc463860752"/>
      <w:r>
        <w:rPr>
          <w:rFonts w:hint="eastAsia"/>
        </w:rPr>
        <w:t>试验方法</w:t>
      </w:r>
      <w:bookmarkEnd w:id="68"/>
      <w:bookmarkEnd w:id="69"/>
      <w:bookmarkEnd w:id="70"/>
      <w:bookmarkEnd w:id="71"/>
      <w:bookmarkEnd w:id="72"/>
      <w:bookmarkEnd w:id="73"/>
      <w:bookmarkEnd w:id="74"/>
      <w:bookmarkEnd w:id="75"/>
      <w:bookmarkEnd w:id="76"/>
      <w:bookmarkEnd w:id="77"/>
    </w:p>
    <w:p w14:paraId="326DDF93">
      <w:pPr>
        <w:pStyle w:val="21"/>
        <w:rPr>
          <w:rFonts w:hint="eastAsia" w:ascii="黑体" w:eastAsia="黑体"/>
        </w:rPr>
      </w:pPr>
      <w:r>
        <w:rPr>
          <w:rFonts w:hint="eastAsia" w:ascii="黑体" w:eastAsia="黑体"/>
        </w:rPr>
        <w:t>警告：使用本文件的人员应有实验室工作的实践经验。本文件并未指出所有的安全问题。使用者有责任采取适当的安全和健康措施。</w:t>
      </w:r>
    </w:p>
    <w:p w14:paraId="5A4FD6A7">
      <w:pPr>
        <w:pStyle w:val="42"/>
        <w:rPr>
          <w:rFonts w:hint="eastAsia"/>
        </w:rPr>
      </w:pPr>
      <w:bookmarkStart w:id="78" w:name="_Toc494273388"/>
      <w:bookmarkStart w:id="79" w:name="_Toc188041025"/>
      <w:r>
        <w:rPr>
          <w:rFonts w:hint="eastAsia"/>
        </w:rPr>
        <w:t>一般规定</w:t>
      </w:r>
      <w:bookmarkEnd w:id="78"/>
      <w:bookmarkEnd w:id="79"/>
    </w:p>
    <w:p w14:paraId="3CCFC1BD">
      <w:pPr>
        <w:pStyle w:val="21"/>
        <w:rPr>
          <w:rFonts w:hint="eastAsia" w:ascii="黑体" w:eastAsia="黑体"/>
        </w:rPr>
      </w:pPr>
      <w:r>
        <w:rPr>
          <w:rFonts w:hint="eastAsia"/>
        </w:rPr>
        <w:t>本文件所用试剂和水在没有注明其他要求时，均指分析纯试剂和蒸馏水。</w:t>
      </w:r>
    </w:p>
    <w:p w14:paraId="537677FF">
      <w:pPr>
        <w:pStyle w:val="42"/>
        <w:rPr>
          <w:rFonts w:hint="eastAsia"/>
        </w:rPr>
      </w:pPr>
      <w:bookmarkStart w:id="80" w:name="_Toc188041026"/>
      <w:bookmarkStart w:id="81" w:name="_Toc494273389"/>
      <w:r>
        <w:rPr>
          <w:rFonts w:hint="eastAsia"/>
        </w:rPr>
        <w:t>取样</w:t>
      </w:r>
      <w:bookmarkEnd w:id="80"/>
      <w:bookmarkEnd w:id="81"/>
    </w:p>
    <w:p w14:paraId="2D13C672">
      <w:pPr>
        <w:pStyle w:val="21"/>
        <w:rPr>
          <w:rFonts w:hint="eastAsia" w:hAnsi="宋体"/>
        </w:rPr>
      </w:pPr>
      <w:r>
        <w:rPr>
          <w:rFonts w:hint="eastAsia" w:ascii="Times New Roman"/>
        </w:rPr>
        <w:t xml:space="preserve">按 </w:t>
      </w:r>
      <w:r>
        <w:t>GB/T 1605</w:t>
      </w:r>
      <w:r>
        <w:rPr>
          <w:rFonts w:hint="eastAsia"/>
        </w:rPr>
        <w:t>—2001</w:t>
      </w:r>
      <w:r>
        <w:rPr>
          <w:rFonts w:hint="eastAsia" w:hAnsi="宋体"/>
        </w:rPr>
        <w:t>中5.3.</w:t>
      </w:r>
      <w:r>
        <w:rPr>
          <w:rFonts w:hAnsi="宋体"/>
        </w:rPr>
        <w:t>2</w:t>
      </w:r>
      <w:r>
        <w:rPr>
          <w:rFonts w:hint="eastAsia" w:hAnsi="宋体"/>
        </w:rPr>
        <w:t>进行。用随机数表法确定取样的包装件。最终取样量应不少于</w:t>
      </w:r>
      <w:r>
        <w:rPr>
          <w:rFonts w:hint="eastAsia" w:hAnsi="宋体"/>
          <w:lang w:val="en-US" w:eastAsia="zh-CN"/>
        </w:rPr>
        <w:t>100</w:t>
      </w:r>
      <w:r>
        <w:rPr>
          <w:rFonts w:hint="eastAsia" w:hAnsi="宋体"/>
        </w:rPr>
        <w:t>0 mL。</w:t>
      </w:r>
    </w:p>
    <w:p w14:paraId="5192461E">
      <w:pPr>
        <w:pStyle w:val="42"/>
        <w:rPr>
          <w:rFonts w:hint="eastAsia"/>
        </w:rPr>
      </w:pPr>
      <w:bookmarkStart w:id="82" w:name="_Toc494273390"/>
      <w:bookmarkStart w:id="83" w:name="_Toc188041027"/>
      <w:r>
        <w:rPr>
          <w:rFonts w:hint="eastAsia"/>
        </w:rPr>
        <w:t>鉴别试验</w:t>
      </w:r>
      <w:bookmarkEnd w:id="82"/>
      <w:bookmarkEnd w:id="83"/>
    </w:p>
    <w:p w14:paraId="4E0CDA95">
      <w:pPr>
        <w:pStyle w:val="21"/>
        <w:rPr>
          <w:rFonts w:hAnsi="宋体"/>
        </w:rPr>
      </w:pPr>
      <w:bookmarkStart w:id="84" w:name="_Toc188041028"/>
      <w:bookmarkStart w:id="85" w:name="_Toc494273391"/>
      <w:r>
        <w:rPr>
          <w:rFonts w:hint="eastAsia" w:hAnsi="宋体"/>
        </w:rPr>
        <w:t>液相色谱法</w:t>
      </w:r>
      <w:r>
        <w:rPr>
          <w:rFonts w:ascii="Times New Roman"/>
        </w:rPr>
        <w:t>——</w:t>
      </w:r>
      <w:r>
        <w:rPr>
          <w:rFonts w:hint="eastAsia" w:ascii="宋体"/>
          <w:kern w:val="0"/>
          <w:szCs w:val="20"/>
        </w:rPr>
        <w:t>本鉴别试验可与唑啉草酯</w:t>
      </w:r>
      <w:r>
        <w:rPr>
          <w:rFonts w:hint="eastAsia" w:ascii="宋体"/>
          <w:kern w:val="0"/>
          <w:szCs w:val="20"/>
          <w:lang w:eastAsia="zh-CN"/>
        </w:rPr>
        <w:t>（</w:t>
      </w:r>
      <w:r>
        <w:rPr>
          <w:rFonts w:hint="eastAsia" w:ascii="宋体"/>
          <w:kern w:val="0"/>
          <w:szCs w:val="20"/>
        </w:rPr>
        <w:t>解草酯</w:t>
      </w:r>
      <w:r>
        <w:rPr>
          <w:rFonts w:hint="eastAsia" w:ascii="宋体"/>
          <w:kern w:val="0"/>
          <w:szCs w:val="20"/>
          <w:lang w:eastAsia="zh-CN"/>
        </w:rPr>
        <w:t>）</w:t>
      </w:r>
      <w:r>
        <w:rPr>
          <w:rFonts w:hint="eastAsia" w:ascii="宋体"/>
          <w:kern w:val="0"/>
          <w:szCs w:val="20"/>
        </w:rPr>
        <w:t>质量分数的测定同时进行。在相同的色谱操作条件下，试样溶液中某色谱峰的保留时间与标样溶液中唑啉草酯</w:t>
      </w:r>
      <w:r>
        <w:rPr>
          <w:rFonts w:hint="eastAsia" w:ascii="宋体"/>
          <w:kern w:val="0"/>
          <w:szCs w:val="20"/>
          <w:lang w:eastAsia="zh-CN"/>
        </w:rPr>
        <w:t>（</w:t>
      </w:r>
      <w:r>
        <w:rPr>
          <w:rFonts w:hint="eastAsia" w:ascii="宋体"/>
          <w:kern w:val="0"/>
          <w:szCs w:val="20"/>
        </w:rPr>
        <w:t>解草酯</w:t>
      </w:r>
      <w:r>
        <w:rPr>
          <w:rFonts w:hint="eastAsia" w:ascii="宋体"/>
          <w:kern w:val="0"/>
          <w:szCs w:val="20"/>
          <w:lang w:eastAsia="zh-CN"/>
        </w:rPr>
        <w:t>）</w:t>
      </w:r>
      <w:r>
        <w:rPr>
          <w:rFonts w:hint="eastAsia" w:ascii="宋体"/>
          <w:kern w:val="0"/>
          <w:szCs w:val="20"/>
        </w:rPr>
        <w:t>色谱峰的保留时间，其相对差应在1.5%以内</w:t>
      </w:r>
      <w:r>
        <w:rPr>
          <w:rFonts w:hint="eastAsia" w:hAnsi="宋体"/>
        </w:rPr>
        <w:t>。</w:t>
      </w:r>
    </w:p>
    <w:p w14:paraId="1420688C">
      <w:pPr>
        <w:pStyle w:val="42"/>
      </w:pPr>
      <w:r>
        <w:rPr>
          <w:rFonts w:hint="eastAsia"/>
        </w:rPr>
        <w:t>外观</w:t>
      </w:r>
    </w:p>
    <w:p w14:paraId="389B6070">
      <w:pPr>
        <w:pStyle w:val="21"/>
        <w:rPr>
          <w:rFonts w:hint="eastAsia"/>
        </w:rPr>
      </w:pPr>
      <w:r>
        <w:rPr>
          <w:rFonts w:hint="eastAsia"/>
        </w:rPr>
        <w:t>采用目测法测定。</w:t>
      </w:r>
    </w:p>
    <w:p w14:paraId="40C198DB">
      <w:pPr>
        <w:pStyle w:val="42"/>
      </w:pPr>
      <w:r>
        <w:rPr>
          <w:rFonts w:hint="eastAsia"/>
          <w:lang w:eastAsia="zh-CN"/>
        </w:rPr>
        <w:t>唑啉草酯</w:t>
      </w:r>
      <w:r>
        <w:rPr>
          <w:rFonts w:hint="eastAsia"/>
        </w:rPr>
        <w:t>质量分数</w:t>
      </w:r>
      <w:bookmarkEnd w:id="84"/>
      <w:bookmarkEnd w:id="85"/>
      <w:r>
        <w:rPr>
          <w:rFonts w:hint="eastAsia"/>
          <w:lang w:eastAsia="zh-CN"/>
        </w:rPr>
        <w:t>（</w:t>
      </w:r>
      <w:r>
        <w:rPr>
          <w:rFonts w:hint="eastAsia"/>
          <w:lang w:val="en-US" w:eastAsia="zh-CN"/>
        </w:rPr>
        <w:t>质量浓度</w:t>
      </w:r>
      <w:r>
        <w:rPr>
          <w:rFonts w:hint="eastAsia"/>
          <w:lang w:eastAsia="zh-CN"/>
        </w:rPr>
        <w:t>）</w:t>
      </w:r>
      <w:r>
        <w:rPr>
          <w:rFonts w:hint="eastAsia"/>
          <w:lang w:val="en-US" w:eastAsia="zh-CN"/>
        </w:rPr>
        <w:t>和解草酯质量分数</w:t>
      </w:r>
    </w:p>
    <w:p w14:paraId="33751B02">
      <w:pPr>
        <w:pStyle w:val="41"/>
        <w:numPr>
          <w:ilvl w:val="2"/>
          <w:numId w:val="2"/>
        </w:numPr>
        <w:spacing w:before="156" w:after="156"/>
        <w:rPr>
          <w:rFonts w:hint="eastAsia"/>
        </w:rPr>
      </w:pPr>
      <w:r>
        <w:rPr>
          <w:rFonts w:hint="eastAsia"/>
          <w:lang w:val="en-US" w:eastAsia="zh-CN"/>
        </w:rPr>
        <w:t>方法提要</w:t>
      </w:r>
    </w:p>
    <w:p w14:paraId="7D3C8213">
      <w:pPr>
        <w:pStyle w:val="21"/>
      </w:pPr>
      <w:r>
        <w:rPr>
          <w:rFonts w:hint="eastAsia"/>
        </w:rPr>
        <w:t>试样用乙腈溶解，以乙腈</w:t>
      </w:r>
      <w:r>
        <w:t>+</w:t>
      </w:r>
      <w:r>
        <w:rPr>
          <w:rFonts w:hint="eastAsia"/>
        </w:rPr>
        <w:t>磷酸</w:t>
      </w:r>
      <w:r>
        <w:rPr>
          <w:rFonts w:hint="eastAsia"/>
          <w:lang w:val="en-US" w:eastAsia="zh-CN"/>
        </w:rPr>
        <w:t>溶液</w:t>
      </w:r>
      <w:r>
        <w:rPr>
          <w:rFonts w:hint="eastAsia"/>
        </w:rPr>
        <w:t>为流动相，使用以</w:t>
      </w:r>
      <w:r>
        <w:t xml:space="preserve"> C</w:t>
      </w:r>
      <w:r>
        <w:rPr>
          <w:vertAlign w:val="subscript"/>
        </w:rPr>
        <w:t>18</w:t>
      </w:r>
      <w:r>
        <w:rPr>
          <w:rFonts w:hint="eastAsia"/>
        </w:rPr>
        <w:t>为填料的不锈钢柱和紫外检测器，在波长2</w:t>
      </w:r>
      <w:r>
        <w:rPr>
          <w:rFonts w:hint="eastAsia"/>
          <w:lang w:val="en-US" w:eastAsia="zh-CN"/>
        </w:rPr>
        <w:t>4</w:t>
      </w:r>
      <w:r>
        <w:t>0</w:t>
      </w:r>
      <w:r>
        <w:rPr>
          <w:rFonts w:hint="eastAsia"/>
        </w:rPr>
        <w:t xml:space="preserve"> nm下对试样中的唑啉草酯</w:t>
      </w:r>
      <w:r>
        <w:rPr>
          <w:rFonts w:hint="eastAsia"/>
          <w:lang w:eastAsia="zh-CN"/>
        </w:rPr>
        <w:t>（</w:t>
      </w:r>
      <w:r>
        <w:rPr>
          <w:rFonts w:hint="eastAsia"/>
        </w:rPr>
        <w:t>解草酯</w:t>
      </w:r>
      <w:r>
        <w:rPr>
          <w:rFonts w:hint="eastAsia"/>
          <w:lang w:eastAsia="zh-CN"/>
        </w:rPr>
        <w:t>）</w:t>
      </w:r>
      <w:r>
        <w:rPr>
          <w:rFonts w:hint="eastAsia"/>
        </w:rPr>
        <w:t>进行高效液相色谱分离，外标法定量。</w:t>
      </w:r>
    </w:p>
    <w:p w14:paraId="488C8EBF">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试剂和溶液</w:t>
      </w:r>
    </w:p>
    <w:p w14:paraId="04EF0F71">
      <w:pPr>
        <w:pStyle w:val="62"/>
        <w:spacing w:before="156" w:after="156"/>
        <w:rPr>
          <w:rFonts w:ascii="宋体" w:hAnsi="宋体" w:eastAsia="宋体"/>
        </w:rPr>
      </w:pPr>
      <w:r>
        <w:rPr>
          <w:rFonts w:hint="eastAsia" w:ascii="宋体" w:hAnsi="宋体" w:eastAsia="宋体"/>
        </w:rPr>
        <w:t>乙腈：色谱纯。</w:t>
      </w:r>
    </w:p>
    <w:p w14:paraId="3FFC1356">
      <w:pPr>
        <w:pStyle w:val="62"/>
        <w:spacing w:before="156" w:after="156"/>
        <w:rPr>
          <w:rFonts w:ascii="宋体" w:hAnsi="宋体" w:eastAsia="宋体"/>
        </w:rPr>
      </w:pPr>
      <w:r>
        <w:rPr>
          <w:rFonts w:hint="eastAsia" w:ascii="宋体" w:hAnsi="宋体" w:eastAsia="宋体"/>
        </w:rPr>
        <w:t>磷酸。</w:t>
      </w:r>
    </w:p>
    <w:p w14:paraId="6A30C135">
      <w:pPr>
        <w:pStyle w:val="62"/>
        <w:spacing w:before="156" w:after="156"/>
        <w:rPr>
          <w:rFonts w:ascii="宋体" w:hAnsi="宋体" w:eastAsia="宋体"/>
        </w:rPr>
      </w:pPr>
      <w:r>
        <w:rPr>
          <w:rFonts w:hint="eastAsia" w:ascii="宋体" w:hAnsi="宋体" w:eastAsia="宋体"/>
        </w:rPr>
        <w:t>水：新蒸二次蒸馏水或超纯水。</w:t>
      </w:r>
    </w:p>
    <w:p w14:paraId="6B92BF53">
      <w:pPr>
        <w:pStyle w:val="62"/>
        <w:spacing w:before="156" w:after="156"/>
        <w:ind w:left="0"/>
        <w:rPr>
          <w:rFonts w:hint="eastAsia"/>
          <w:highlight w:val="none"/>
        </w:rPr>
      </w:pPr>
      <w:r>
        <w:rPr>
          <w:rFonts w:hint="eastAsia" w:ascii="宋体" w:hAnsi="宋体" w:eastAsia="宋体"/>
          <w:highlight w:val="none"/>
        </w:rPr>
        <w:t>磷酸溶液：</w:t>
      </w:r>
      <w:r>
        <w:rPr>
          <w:rFonts w:hint="eastAsia" w:ascii="宋体" w:hAnsi="宋体" w:eastAsia="宋体" w:cs="宋体"/>
          <w:i/>
          <w:kern w:val="2"/>
          <w:sz w:val="21"/>
          <w:szCs w:val="21"/>
        </w:rPr>
        <w:t>ψ</w:t>
      </w:r>
      <w:r>
        <w:rPr>
          <w:rFonts w:hint="eastAsia" w:ascii="宋体" w:hAnsi="宋体" w:eastAsia="宋体" w:cs="宋体"/>
          <w:sz w:val="21"/>
          <w:szCs w:val="21"/>
          <w:vertAlign w:val="subscript"/>
          <w:lang w:eastAsia="zh-CN"/>
        </w:rPr>
        <w:t>磷酸</w:t>
      </w:r>
      <w:r>
        <w:rPr>
          <w:rFonts w:hint="eastAsia" w:ascii="宋体" w:hAnsi="宋体" w:eastAsia="宋体" w:cs="宋体"/>
          <w:vertAlign w:val="subscript"/>
        </w:rPr>
        <w:t>:</w:t>
      </w:r>
      <w:r>
        <w:rPr>
          <w:rFonts w:hint="eastAsia" w:ascii="宋体" w:hAnsi="宋体" w:eastAsia="宋体" w:cs="宋体"/>
          <w:sz w:val="21"/>
          <w:szCs w:val="21"/>
          <w:vertAlign w:val="subscript"/>
        </w:rPr>
        <w:t>水</w:t>
      </w:r>
      <w:r>
        <w:rPr>
          <w:rFonts w:hint="eastAsia" w:ascii="宋体" w:hAnsi="宋体" w:eastAsia="宋体" w:cs="宋体"/>
          <w:sz w:val="21"/>
          <w:szCs w:val="21"/>
        </w:rPr>
        <w:t>＝</w:t>
      </w:r>
      <w:r>
        <w:rPr>
          <w:rFonts w:hint="eastAsia" w:ascii="宋体" w:hAnsi="宋体" w:eastAsia="宋体" w:cs="宋体"/>
          <w:sz w:val="21"/>
          <w:szCs w:val="21"/>
          <w:lang w:val="en-US" w:eastAsia="zh-CN"/>
        </w:rPr>
        <w:t>2:1000</w:t>
      </w:r>
      <w:r>
        <w:rPr>
          <w:rFonts w:hint="eastAsia" w:ascii="宋体" w:hAnsi="宋体" w:eastAsia="宋体"/>
          <w:highlight w:val="none"/>
        </w:rPr>
        <w:t>。</w:t>
      </w:r>
    </w:p>
    <w:p w14:paraId="5DDD02B5">
      <w:pPr>
        <w:pStyle w:val="62"/>
        <w:spacing w:before="156" w:after="156"/>
        <w:rPr>
          <w:rFonts w:ascii="宋体" w:hAnsi="宋体" w:eastAsia="宋体"/>
        </w:rPr>
      </w:pPr>
      <w:r>
        <w:rPr>
          <w:rFonts w:hint="eastAsia" w:ascii="宋体" w:hAnsi="宋体" w:eastAsia="宋体"/>
        </w:rPr>
        <w:t>唑啉草酯标样：已知唑啉草酯质量分数</w:t>
      </w:r>
      <w:bookmarkStart w:id="86" w:name="_Hlk180674118"/>
      <w:r>
        <w:rPr>
          <w:rFonts w:hint="eastAsia" w:ascii="宋体" w:hAnsi="宋体" w:eastAsia="宋体"/>
        </w:rPr>
        <w:t>且不低于98.0</w:t>
      </w:r>
      <w:r>
        <w:rPr>
          <w:rFonts w:ascii="宋体" w:hAnsi="宋体" w:eastAsia="宋体"/>
        </w:rPr>
        <w:t>%</w:t>
      </w:r>
      <w:bookmarkEnd w:id="86"/>
      <w:r>
        <w:rPr>
          <w:rFonts w:hint="eastAsia" w:ascii="宋体" w:hAnsi="宋体" w:eastAsia="宋体"/>
        </w:rPr>
        <w:t>。</w:t>
      </w:r>
    </w:p>
    <w:p w14:paraId="46A7682E">
      <w:pPr>
        <w:pStyle w:val="62"/>
        <w:spacing w:before="156" w:after="156"/>
        <w:rPr>
          <w:rFonts w:hint="eastAsia"/>
        </w:rPr>
      </w:pPr>
      <w:r>
        <w:rPr>
          <w:rFonts w:hint="eastAsia" w:ascii="宋体" w:hAnsi="宋体" w:eastAsia="宋体"/>
        </w:rPr>
        <w:t>解草酯标样：已知解草酯质量分数且不低于98.0</w:t>
      </w:r>
      <w:r>
        <w:rPr>
          <w:rFonts w:ascii="宋体" w:hAnsi="宋体" w:eastAsia="宋体"/>
        </w:rPr>
        <w:t>%</w:t>
      </w:r>
      <w:r>
        <w:rPr>
          <w:rFonts w:hint="eastAsia" w:ascii="宋体" w:hAnsi="宋体" w:eastAsia="宋体"/>
        </w:rPr>
        <w:t>。</w:t>
      </w:r>
    </w:p>
    <w:p w14:paraId="27971062">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仪器</w:t>
      </w:r>
    </w:p>
    <w:p w14:paraId="452BAE52">
      <w:pPr>
        <w:pStyle w:val="62"/>
        <w:spacing w:before="156" w:after="156"/>
        <w:rPr>
          <w:rFonts w:hint="eastAsia" w:ascii="宋体" w:hAnsi="宋体" w:eastAsia="宋体" w:cs="Times New Roman"/>
          <w:lang w:eastAsia="zh-CN"/>
        </w:rPr>
      </w:pPr>
      <w:r>
        <w:rPr>
          <w:rFonts w:hint="eastAsia" w:ascii="宋体" w:hAnsi="宋体" w:eastAsia="宋体" w:cs="Times New Roman"/>
          <w:lang w:eastAsia="zh-CN"/>
        </w:rPr>
        <w:t>高效液相色谱仪：具有可变波长紫外检测器。</w:t>
      </w:r>
    </w:p>
    <w:p w14:paraId="6DEB6034">
      <w:pPr>
        <w:pStyle w:val="62"/>
        <w:spacing w:before="156" w:after="156"/>
        <w:rPr>
          <w:rFonts w:hint="eastAsia" w:ascii="宋体" w:hAnsi="宋体" w:eastAsia="宋体" w:cs="Times New Roman"/>
          <w:lang w:eastAsia="zh-CN"/>
        </w:rPr>
      </w:pPr>
      <w:r>
        <w:rPr>
          <w:rFonts w:hint="eastAsia" w:ascii="宋体" w:hAnsi="宋体" w:eastAsia="宋体" w:cs="Times New Roman"/>
          <w:lang w:eastAsia="zh-CN"/>
        </w:rPr>
        <w:t>色谱柱：</w:t>
      </w:r>
      <w:r>
        <w:rPr>
          <w:rFonts w:hint="eastAsia" w:ascii="宋体" w:hAnsi="宋体" w:eastAsia="宋体" w:cs="Times New Roman"/>
          <w:lang w:val="en-US" w:eastAsia="zh-CN"/>
        </w:rPr>
        <w:t>2</w:t>
      </w:r>
      <w:r>
        <w:rPr>
          <w:rFonts w:hint="eastAsia" w:ascii="宋体" w:hAnsi="宋体" w:eastAsia="宋体" w:cs="Times New Roman"/>
          <w:lang w:eastAsia="zh-CN"/>
        </w:rPr>
        <w:t>50 mm×4.6 mm（</w:t>
      </w:r>
      <w:r>
        <w:rPr>
          <w:rFonts w:hint="eastAsia" w:ascii="宋体" w:hAnsi="宋体" w:eastAsia="宋体" w:cs="Times New Roman"/>
          <w:lang w:val="en-US" w:eastAsia="zh-CN"/>
        </w:rPr>
        <w:t>内径</w:t>
      </w:r>
      <w:r>
        <w:rPr>
          <w:rFonts w:hint="eastAsia" w:ascii="宋体" w:hAnsi="宋体" w:eastAsia="宋体" w:cs="Times New Roman"/>
          <w:lang w:eastAsia="zh-CN"/>
        </w:rPr>
        <w:t>）不锈钢柱，内装 C</w:t>
      </w:r>
      <w:r>
        <w:rPr>
          <w:rFonts w:hint="eastAsia" w:ascii="宋体" w:hAnsi="宋体" w:eastAsia="宋体" w:cs="Times New Roman"/>
          <w:vertAlign w:val="subscript"/>
          <w:lang w:eastAsia="zh-CN"/>
        </w:rPr>
        <w:t>18</w:t>
      </w:r>
      <w:r>
        <w:rPr>
          <w:rFonts w:hint="eastAsia" w:ascii="宋体" w:hAnsi="宋体" w:eastAsia="宋体" w:cs="Times New Roman"/>
          <w:lang w:eastAsia="zh-CN"/>
        </w:rPr>
        <w:t xml:space="preserve">、5 </w:t>
      </w:r>
      <w:r>
        <w:rPr>
          <w:rFonts w:hint="default" w:ascii="Times New Roman" w:hAnsi="Times New Roman" w:eastAsia="宋体" w:cs="Times New Roman"/>
          <w:lang w:val="en-US" w:eastAsia="zh-CN"/>
        </w:rPr>
        <w:t>μ</w:t>
      </w:r>
      <w:r>
        <w:rPr>
          <w:rFonts w:hint="eastAsia" w:ascii="宋体" w:hAnsi="宋体" w:eastAsia="宋体" w:cs="Times New Roman"/>
          <w:lang w:eastAsia="zh-CN"/>
        </w:rPr>
        <w:t>m填充物（或具同等效果的色谱柱）。</w:t>
      </w:r>
    </w:p>
    <w:p w14:paraId="59065040">
      <w:pPr>
        <w:pStyle w:val="62"/>
        <w:spacing w:before="156" w:after="156"/>
        <w:rPr>
          <w:rFonts w:hint="eastAsia" w:ascii="宋体" w:hAnsi="宋体" w:eastAsia="宋体" w:cs="Times New Roman"/>
          <w:lang w:eastAsia="zh-CN"/>
        </w:rPr>
      </w:pPr>
      <w:r>
        <w:rPr>
          <w:rFonts w:hint="eastAsia" w:ascii="宋体" w:hAnsi="宋体" w:eastAsia="宋体"/>
        </w:rPr>
        <w:t>超声波清洗器</w:t>
      </w:r>
      <w:r>
        <w:rPr>
          <w:rFonts w:hint="eastAsia" w:ascii="宋体" w:hAnsi="宋体" w:eastAsia="宋体"/>
          <w:lang w:eastAsia="zh-CN"/>
        </w:rPr>
        <w:t>。</w:t>
      </w:r>
    </w:p>
    <w:p w14:paraId="7CCFA727">
      <w:pPr>
        <w:pStyle w:val="62"/>
        <w:spacing w:before="156" w:after="156"/>
        <w:rPr>
          <w:rFonts w:hint="eastAsia" w:ascii="宋体" w:hAnsi="宋体" w:eastAsia="宋体" w:cs="Times New Roman"/>
          <w:lang w:eastAsia="zh-CN"/>
        </w:rPr>
      </w:pPr>
      <w:r>
        <w:rPr>
          <w:rFonts w:hint="eastAsia" w:ascii="宋体" w:hAnsi="宋体" w:eastAsia="宋体" w:cs="Times New Roman"/>
          <w:lang w:eastAsia="zh-CN"/>
        </w:rPr>
        <w:t xml:space="preserve">过滤器：滤膜孔径约0.45 </w:t>
      </w:r>
      <w:r>
        <w:rPr>
          <w:rFonts w:hint="default" w:ascii="Times New Roman" w:hAnsi="Times New Roman" w:eastAsia="宋体" w:cs="Times New Roman"/>
          <w:lang w:val="en-US" w:eastAsia="zh-CN"/>
        </w:rPr>
        <w:t>μ</w:t>
      </w:r>
      <w:r>
        <w:rPr>
          <w:rFonts w:hint="eastAsia" w:ascii="宋体" w:hAnsi="宋体" w:eastAsia="宋体" w:cs="Times New Roman"/>
          <w:lang w:eastAsia="zh-CN"/>
        </w:rPr>
        <w:t>m。</w:t>
      </w:r>
    </w:p>
    <w:p w14:paraId="1FB6F031">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高效液相色谱操作条件</w:t>
      </w:r>
    </w:p>
    <w:p w14:paraId="2FABAD61">
      <w:pPr>
        <w:pStyle w:val="62"/>
        <w:spacing w:before="156" w:after="156"/>
        <w:rPr>
          <w:rFonts w:hint="eastAsia" w:ascii="宋体" w:hAnsi="宋体" w:eastAsia="宋体"/>
        </w:rPr>
      </w:pPr>
      <w:bookmarkStart w:id="87" w:name="_Hlk147668543"/>
      <w:bookmarkStart w:id="88" w:name="_Hlk147668573"/>
      <w:r>
        <w:rPr>
          <w:rFonts w:hint="eastAsia" w:ascii="宋体" w:hAnsi="宋体" w:eastAsia="宋体"/>
        </w:rPr>
        <w:t>流动相</w:t>
      </w:r>
      <w:bookmarkStart w:id="89" w:name="_Hlk180674133"/>
      <w:r>
        <w:rPr>
          <w:rFonts w:hint="eastAsia" w:ascii="宋体" w:hAnsi="宋体" w:eastAsia="宋体"/>
        </w:rPr>
        <w:t>：</w:t>
      </w:r>
      <w:bookmarkEnd w:id="89"/>
      <w:r>
        <w:rPr>
          <w:rFonts w:hint="eastAsia" w:ascii="宋体" w:hAnsi="宋体" w:eastAsia="宋体"/>
          <w:lang w:val="en-US" w:eastAsia="zh-CN"/>
        </w:rPr>
        <w:t>梯度洗脱程序如下：</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4"/>
        <w:gridCol w:w="2154"/>
        <w:gridCol w:w="2154"/>
      </w:tblGrid>
      <w:tr w14:paraId="25267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4" w:type="dxa"/>
            <w:noWrap w:val="0"/>
            <w:vAlign w:val="center"/>
          </w:tcPr>
          <w:p w14:paraId="5597D5D5">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时间/min</w:t>
            </w:r>
          </w:p>
        </w:tc>
        <w:tc>
          <w:tcPr>
            <w:tcW w:w="2154" w:type="dxa"/>
            <w:noWrap w:val="0"/>
            <w:vAlign w:val="center"/>
          </w:tcPr>
          <w:p w14:paraId="1E8658A4">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乙腈/%</w:t>
            </w:r>
          </w:p>
        </w:tc>
        <w:tc>
          <w:tcPr>
            <w:tcW w:w="2154" w:type="dxa"/>
            <w:noWrap w:val="0"/>
            <w:vAlign w:val="center"/>
          </w:tcPr>
          <w:p w14:paraId="1AB24A58">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磷酸溶液/%</w:t>
            </w:r>
          </w:p>
        </w:tc>
      </w:tr>
      <w:tr w14:paraId="2E880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4" w:type="dxa"/>
            <w:noWrap w:val="0"/>
            <w:vAlign w:val="center"/>
          </w:tcPr>
          <w:p w14:paraId="4F8924A6">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hAnsi="宋体" w:cs="宋体"/>
                <w:sz w:val="21"/>
                <w:szCs w:val="21"/>
                <w:lang w:val="en-US" w:eastAsia="zh-CN" w:bidi="ar-SA"/>
              </w:rPr>
              <w:t>0</w:t>
            </w:r>
            <w:r>
              <w:rPr>
                <w:rFonts w:hint="eastAsia" w:ascii="宋体" w:hAnsi="宋体" w:eastAsia="宋体" w:cs="宋体"/>
                <w:kern w:val="2"/>
                <w:sz w:val="21"/>
                <w:szCs w:val="21"/>
                <w:highlight w:val="none"/>
                <w:lang w:bidi="ar"/>
              </w:rPr>
              <w:t>～</w:t>
            </w:r>
            <w:r>
              <w:rPr>
                <w:rFonts w:hint="eastAsia" w:ascii="宋体" w:hAnsi="宋体" w:eastAsia="宋体" w:cs="宋体"/>
                <w:sz w:val="21"/>
                <w:szCs w:val="21"/>
                <w:lang w:val="en-US" w:eastAsia="zh-CN" w:bidi="ar-SA"/>
              </w:rPr>
              <w:t>20.0</w:t>
            </w:r>
          </w:p>
        </w:tc>
        <w:tc>
          <w:tcPr>
            <w:tcW w:w="2154" w:type="dxa"/>
            <w:noWrap w:val="0"/>
            <w:vAlign w:val="center"/>
          </w:tcPr>
          <w:p w14:paraId="193E0A1E">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50</w:t>
            </w:r>
          </w:p>
        </w:tc>
        <w:tc>
          <w:tcPr>
            <w:tcW w:w="2154" w:type="dxa"/>
            <w:noWrap w:val="0"/>
            <w:vAlign w:val="center"/>
          </w:tcPr>
          <w:p w14:paraId="1DC60C3C">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50</w:t>
            </w:r>
          </w:p>
        </w:tc>
      </w:tr>
      <w:tr w14:paraId="734B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4" w:type="dxa"/>
            <w:noWrap w:val="0"/>
            <w:vAlign w:val="center"/>
          </w:tcPr>
          <w:p w14:paraId="3C9A49FA">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20.1</w:t>
            </w:r>
            <w:r>
              <w:rPr>
                <w:rFonts w:hint="eastAsia" w:ascii="宋体" w:hAnsi="宋体" w:eastAsia="宋体" w:cs="宋体"/>
                <w:kern w:val="2"/>
                <w:sz w:val="21"/>
                <w:szCs w:val="21"/>
                <w:highlight w:val="none"/>
                <w:lang w:bidi="ar"/>
              </w:rPr>
              <w:t>～</w:t>
            </w:r>
            <w:r>
              <w:rPr>
                <w:rFonts w:hint="eastAsia" w:ascii="宋体" w:hAnsi="宋体" w:eastAsia="宋体" w:cs="宋体"/>
                <w:sz w:val="21"/>
                <w:szCs w:val="21"/>
                <w:lang w:val="en-US" w:eastAsia="zh-CN" w:bidi="ar-SA"/>
              </w:rPr>
              <w:t>25.0</w:t>
            </w:r>
          </w:p>
        </w:tc>
        <w:tc>
          <w:tcPr>
            <w:tcW w:w="2154" w:type="dxa"/>
            <w:noWrap w:val="0"/>
            <w:vAlign w:val="center"/>
          </w:tcPr>
          <w:p w14:paraId="426ABCF1">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95</w:t>
            </w:r>
          </w:p>
        </w:tc>
        <w:tc>
          <w:tcPr>
            <w:tcW w:w="2154" w:type="dxa"/>
            <w:noWrap w:val="0"/>
            <w:vAlign w:val="center"/>
          </w:tcPr>
          <w:p w14:paraId="028B4728">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w:t>
            </w:r>
          </w:p>
        </w:tc>
      </w:tr>
      <w:tr w14:paraId="1F7C7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4" w:type="dxa"/>
            <w:noWrap w:val="0"/>
            <w:vAlign w:val="center"/>
          </w:tcPr>
          <w:p w14:paraId="6707B939">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25.1</w:t>
            </w:r>
            <w:r>
              <w:rPr>
                <w:rFonts w:hint="eastAsia" w:ascii="宋体" w:hAnsi="宋体" w:eastAsia="宋体" w:cs="宋体"/>
                <w:kern w:val="2"/>
                <w:sz w:val="21"/>
                <w:szCs w:val="21"/>
                <w:highlight w:val="none"/>
                <w:lang w:bidi="ar"/>
              </w:rPr>
              <w:t>～</w:t>
            </w:r>
            <w:r>
              <w:rPr>
                <w:rFonts w:hint="eastAsia" w:ascii="宋体" w:hAnsi="宋体" w:eastAsia="宋体" w:cs="宋体"/>
                <w:kern w:val="2"/>
                <w:sz w:val="21"/>
                <w:szCs w:val="21"/>
                <w:highlight w:val="none"/>
                <w:lang w:val="en-US" w:eastAsia="zh-CN" w:bidi="ar"/>
              </w:rPr>
              <w:t>3</w:t>
            </w:r>
            <w:r>
              <w:rPr>
                <w:rFonts w:hint="eastAsia" w:ascii="宋体" w:hAnsi="宋体" w:eastAsia="宋体" w:cs="宋体"/>
                <w:sz w:val="21"/>
                <w:szCs w:val="21"/>
                <w:lang w:val="en-US" w:eastAsia="zh-CN" w:bidi="ar-SA"/>
              </w:rPr>
              <w:t>0.0</w:t>
            </w:r>
          </w:p>
        </w:tc>
        <w:tc>
          <w:tcPr>
            <w:tcW w:w="2154" w:type="dxa"/>
            <w:noWrap w:val="0"/>
            <w:vAlign w:val="center"/>
          </w:tcPr>
          <w:p w14:paraId="574FB866">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50</w:t>
            </w:r>
          </w:p>
        </w:tc>
        <w:tc>
          <w:tcPr>
            <w:tcW w:w="2154" w:type="dxa"/>
            <w:noWrap w:val="0"/>
            <w:vAlign w:val="center"/>
          </w:tcPr>
          <w:p w14:paraId="787DE52E">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50</w:t>
            </w:r>
          </w:p>
        </w:tc>
      </w:tr>
    </w:tbl>
    <w:p w14:paraId="11A73ACF">
      <w:pPr>
        <w:pStyle w:val="62"/>
        <w:spacing w:before="156" w:after="156"/>
        <w:rPr>
          <w:rFonts w:hint="eastAsia" w:ascii="宋体" w:hAnsi="宋体" w:eastAsia="宋体"/>
        </w:rPr>
      </w:pPr>
      <w:r>
        <w:rPr>
          <w:rFonts w:hint="eastAsia" w:ascii="宋体" w:hAnsi="宋体" w:eastAsia="宋体"/>
        </w:rPr>
        <w:t>流速：</w:t>
      </w:r>
      <w:r>
        <w:rPr>
          <w:rFonts w:hint="eastAsia" w:ascii="宋体" w:hAnsi="宋体" w:eastAsia="宋体"/>
          <w:lang w:val="en-US" w:eastAsia="zh-CN"/>
        </w:rPr>
        <w:t>2</w:t>
      </w:r>
      <w:r>
        <w:rPr>
          <w:rFonts w:hint="eastAsia" w:ascii="宋体" w:hAnsi="宋体" w:eastAsia="宋体"/>
        </w:rPr>
        <w:t>.0 mL/min。</w:t>
      </w:r>
    </w:p>
    <w:p w14:paraId="6E069274">
      <w:pPr>
        <w:pStyle w:val="62"/>
        <w:spacing w:before="156" w:after="156"/>
        <w:rPr>
          <w:rFonts w:hint="eastAsia" w:ascii="宋体" w:hAnsi="宋体" w:eastAsia="宋体"/>
        </w:rPr>
      </w:pPr>
      <w:r>
        <w:rPr>
          <w:rFonts w:hint="eastAsia" w:ascii="宋体" w:hAnsi="宋体" w:eastAsia="宋体"/>
        </w:rPr>
        <w:t>柱温：室温（温度变化应不大于2 ℃）。</w:t>
      </w:r>
    </w:p>
    <w:p w14:paraId="1C614135">
      <w:pPr>
        <w:pStyle w:val="62"/>
        <w:spacing w:before="156" w:after="156"/>
        <w:rPr>
          <w:rFonts w:hint="eastAsia" w:ascii="宋体" w:hAnsi="宋体" w:eastAsia="宋体"/>
        </w:rPr>
      </w:pPr>
      <w:r>
        <w:rPr>
          <w:rFonts w:hint="eastAsia" w:ascii="宋体" w:hAnsi="宋体" w:eastAsia="宋体"/>
        </w:rPr>
        <w:t>检测波长：2</w:t>
      </w:r>
      <w:r>
        <w:rPr>
          <w:rFonts w:hint="eastAsia" w:ascii="宋体" w:hAnsi="宋体" w:eastAsia="宋体"/>
          <w:lang w:val="en-US" w:eastAsia="zh-CN"/>
        </w:rPr>
        <w:t>4</w:t>
      </w:r>
      <w:r>
        <w:rPr>
          <w:rFonts w:hint="eastAsia" w:ascii="宋体" w:hAnsi="宋体" w:eastAsia="宋体"/>
        </w:rPr>
        <w:t>0 nm。</w:t>
      </w:r>
    </w:p>
    <w:p w14:paraId="31EAB876">
      <w:pPr>
        <w:pStyle w:val="62"/>
        <w:spacing w:before="156" w:after="156"/>
        <w:rPr>
          <w:rFonts w:ascii="宋体" w:hAnsi="宋体" w:eastAsia="宋体"/>
        </w:rPr>
      </w:pPr>
      <w:r>
        <w:rPr>
          <w:rFonts w:hint="eastAsia" w:ascii="宋体" w:hAnsi="宋体" w:eastAsia="宋体"/>
        </w:rPr>
        <w:t>进样体积：</w:t>
      </w:r>
      <w:r>
        <w:rPr>
          <w:rFonts w:ascii="宋体" w:hAnsi="宋体" w:eastAsia="宋体"/>
        </w:rPr>
        <w:t xml:space="preserve">5 </w:t>
      </w:r>
      <w:r>
        <w:rPr>
          <w:rFonts w:ascii="Symbol" w:hAnsi="Symbol"/>
        </w:rPr>
        <w:t></w:t>
      </w:r>
      <w:r>
        <w:rPr>
          <w:rFonts w:ascii="宋体" w:hAnsi="宋体" w:eastAsia="宋体"/>
        </w:rPr>
        <w:t>L</w:t>
      </w:r>
      <w:r>
        <w:rPr>
          <w:rFonts w:hint="eastAsia" w:ascii="宋体" w:hAnsi="宋体" w:eastAsia="宋体"/>
        </w:rPr>
        <w:t xml:space="preserve">。 </w:t>
      </w:r>
    </w:p>
    <w:p w14:paraId="6E7CCABF">
      <w:pPr>
        <w:pStyle w:val="62"/>
        <w:spacing w:before="156" w:after="156"/>
        <w:rPr>
          <w:rFonts w:hint="eastAsia" w:ascii="宋体" w:hAnsi="宋体" w:eastAsia="宋体"/>
        </w:rPr>
      </w:pPr>
      <w:r>
        <w:rPr>
          <w:rFonts w:hint="eastAsia" w:ascii="宋体" w:hAnsi="宋体" w:eastAsia="宋体"/>
        </w:rPr>
        <w:t>保留时间：唑啉草酯约</w:t>
      </w:r>
      <w:r>
        <w:rPr>
          <w:rFonts w:hint="eastAsia" w:ascii="宋体" w:hAnsi="宋体" w:eastAsia="宋体"/>
          <w:lang w:val="en-US" w:eastAsia="zh-CN"/>
        </w:rPr>
        <w:t>10.8</w:t>
      </w:r>
      <w:r>
        <w:rPr>
          <w:rFonts w:hint="eastAsia" w:ascii="宋体" w:hAnsi="宋体" w:eastAsia="宋体"/>
        </w:rPr>
        <w:t xml:space="preserve"> min</w:t>
      </w:r>
      <w:r>
        <w:rPr>
          <w:rFonts w:hint="eastAsia" w:ascii="宋体" w:hAnsi="宋体" w:eastAsia="宋体"/>
          <w:lang w:eastAsia="zh-CN"/>
        </w:rPr>
        <w:t>，</w:t>
      </w:r>
      <w:r>
        <w:rPr>
          <w:rFonts w:hint="eastAsia" w:ascii="宋体" w:hAnsi="宋体" w:eastAsia="宋体"/>
        </w:rPr>
        <w:t>解草酯约</w:t>
      </w:r>
      <w:r>
        <w:rPr>
          <w:rFonts w:hint="eastAsia" w:ascii="宋体" w:hAnsi="宋体" w:eastAsia="宋体"/>
          <w:lang w:val="en-US" w:eastAsia="zh-CN"/>
        </w:rPr>
        <w:t>17.2 min</w:t>
      </w:r>
      <w:r>
        <w:rPr>
          <w:rFonts w:hint="eastAsia" w:ascii="宋体" w:hAnsi="宋体" w:eastAsia="宋体"/>
        </w:rPr>
        <w:t>。</w:t>
      </w:r>
    </w:p>
    <w:p w14:paraId="0866D0E1">
      <w:pPr>
        <w:pStyle w:val="62"/>
        <w:spacing w:before="156" w:after="156"/>
      </w:pPr>
      <w:r>
        <w:rPr>
          <w:rFonts w:hint="eastAsia" w:ascii="宋体" w:hAnsi="宋体" w:eastAsia="宋体"/>
          <w:lang w:val="en-US" w:eastAsia="zh-CN"/>
        </w:rPr>
        <w:t>5.5.4.1</w:t>
      </w:r>
      <w:r>
        <w:rPr>
          <w:rFonts w:hint="eastAsia" w:ascii="宋体" w:hAnsi="宋体" w:eastAsia="宋体" w:cs="宋体"/>
        </w:rPr>
        <w:t>～</w:t>
      </w:r>
      <w:r>
        <w:rPr>
          <w:rFonts w:hint="eastAsia" w:ascii="宋体" w:hAnsi="宋体" w:eastAsia="宋体" w:cs="宋体"/>
          <w:lang w:val="en-US" w:eastAsia="zh-CN"/>
        </w:rPr>
        <w:t>5.5.4.6的</w:t>
      </w:r>
      <w:r>
        <w:rPr>
          <w:rFonts w:hint="eastAsia" w:ascii="宋体" w:hAnsi="宋体" w:eastAsia="宋体"/>
        </w:rPr>
        <w:t>操作参数是典型的，可根据不同仪器特点，对给定的操作参数作适当调整，以期获得最佳效果。典型的唑啉草酯</w:t>
      </w:r>
      <w:r>
        <w:rPr>
          <w:rFonts w:hint="eastAsia" w:ascii="宋体" w:hAnsi="宋体" w:eastAsia="宋体"/>
          <w:lang w:eastAsia="zh-CN"/>
        </w:rPr>
        <w:t>可分散油悬浮剂</w:t>
      </w:r>
      <w:r>
        <w:rPr>
          <w:rFonts w:hint="eastAsia" w:ascii="宋体" w:hAnsi="宋体" w:eastAsia="宋体"/>
        </w:rPr>
        <w:t>的高效液相色谱图见图</w:t>
      </w:r>
      <w:r>
        <w:rPr>
          <w:rFonts w:ascii="宋体" w:hAnsi="宋体" w:eastAsia="宋体"/>
        </w:rPr>
        <w:t>1</w:t>
      </w:r>
      <w:r>
        <w:rPr>
          <w:rFonts w:hint="eastAsia" w:ascii="宋体" w:hAnsi="宋体" w:eastAsia="宋体"/>
        </w:rPr>
        <w:t>。</w:t>
      </w:r>
    </w:p>
    <w:p w14:paraId="6F4B1406">
      <w:pPr>
        <w:pStyle w:val="21"/>
        <w:ind w:firstLine="0" w:firstLineChars="0"/>
        <w:jc w:val="center"/>
        <w:rPr>
          <w:rFonts w:hint="eastAsia" w:eastAsia="宋体"/>
          <w:lang w:eastAsia="zh-CN"/>
        </w:rPr>
      </w:pPr>
      <w:r>
        <w:drawing>
          <wp:inline distT="0" distB="0" distL="114300" distR="114300">
            <wp:extent cx="3790950" cy="1530350"/>
            <wp:effectExtent l="0" t="0" r="6350" b="635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8"/>
                    <a:stretch>
                      <a:fillRect/>
                    </a:stretch>
                  </pic:blipFill>
                  <pic:spPr>
                    <a:xfrm>
                      <a:off x="0" y="0"/>
                      <a:ext cx="3790950" cy="1530350"/>
                    </a:xfrm>
                    <a:prstGeom prst="rect">
                      <a:avLst/>
                    </a:prstGeom>
                    <a:noFill/>
                    <a:ln>
                      <a:noFill/>
                    </a:ln>
                  </pic:spPr>
                </pic:pic>
              </a:graphicData>
            </a:graphic>
          </wp:inline>
        </w:drawing>
      </w:r>
    </w:p>
    <w:bookmarkEnd w:id="87"/>
    <w:bookmarkEnd w:id="88"/>
    <w:p w14:paraId="00B97CCC">
      <w:pPr>
        <w:pStyle w:val="21"/>
        <w:ind w:firstLine="360"/>
        <w:jc w:val="left"/>
        <w:rPr>
          <w:sz w:val="18"/>
          <w:szCs w:val="18"/>
        </w:rPr>
      </w:pPr>
      <w:r>
        <w:rPr>
          <w:rFonts w:hint="eastAsia"/>
          <w:sz w:val="18"/>
          <w:szCs w:val="18"/>
        </w:rPr>
        <w:t>标引序号说明：</w:t>
      </w:r>
    </w:p>
    <w:p w14:paraId="54E14A23">
      <w:pPr>
        <w:pStyle w:val="21"/>
        <w:ind w:firstLine="360"/>
        <w:jc w:val="left"/>
        <w:rPr>
          <w:sz w:val="18"/>
          <w:szCs w:val="18"/>
        </w:rPr>
      </w:pPr>
      <w:r>
        <w:rPr>
          <w:sz w:val="18"/>
          <w:szCs w:val="18"/>
        </w:rPr>
        <w:t>1</w:t>
      </w:r>
      <w:r>
        <w:rPr>
          <w:rFonts w:hint="eastAsia"/>
          <w:sz w:val="18"/>
          <w:szCs w:val="18"/>
        </w:rPr>
        <w:t>－唑啉草酯；</w:t>
      </w:r>
    </w:p>
    <w:p w14:paraId="3AF9DAA7">
      <w:pPr>
        <w:pStyle w:val="21"/>
        <w:ind w:firstLine="360"/>
        <w:jc w:val="left"/>
        <w:rPr>
          <w:rFonts w:hint="eastAsia"/>
          <w:sz w:val="18"/>
          <w:szCs w:val="18"/>
        </w:rPr>
      </w:pPr>
      <w:r>
        <w:rPr>
          <w:rFonts w:hint="eastAsia"/>
          <w:sz w:val="18"/>
          <w:szCs w:val="18"/>
        </w:rPr>
        <w:t>2－解草酯。</w:t>
      </w:r>
    </w:p>
    <w:p w14:paraId="0BFF8BD9">
      <w:pPr>
        <w:pStyle w:val="108"/>
        <w:spacing w:before="0" w:beforeLines="0" w:after="0" w:afterLines="0"/>
        <w:ind w:left="0"/>
      </w:pPr>
      <w:r>
        <w:rPr>
          <w:rFonts w:hint="eastAsia"/>
          <w:lang w:eastAsia="zh-CN"/>
        </w:rPr>
        <w:t>唑啉草酯</w:t>
      </w:r>
      <w:r>
        <w:rPr>
          <w:rFonts w:hint="eastAsia"/>
          <w:lang w:val="en-US" w:eastAsia="zh-CN"/>
        </w:rPr>
        <w:t>可分散油悬浮剂</w:t>
      </w:r>
      <w:r>
        <w:rPr>
          <w:rFonts w:hint="eastAsia"/>
        </w:rPr>
        <w:t>的高效液相色谱图</w:t>
      </w:r>
    </w:p>
    <w:p w14:paraId="42A4870F">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测定步骤</w:t>
      </w:r>
    </w:p>
    <w:p w14:paraId="4B0B575D">
      <w:pPr>
        <w:pStyle w:val="62"/>
        <w:numPr>
          <w:ilvl w:val="3"/>
          <w:numId w:val="18"/>
        </w:numPr>
        <w:spacing w:before="156" w:after="156"/>
        <w:rPr>
          <w:rFonts w:hint="eastAsia" w:hAnsi="Times New Roman" w:cs="Times New Roman"/>
        </w:rPr>
      </w:pPr>
      <w:r>
        <w:rPr>
          <w:rFonts w:hint="eastAsia" w:hAnsi="Times New Roman" w:cs="Times New Roman"/>
        </w:rPr>
        <w:t>标样溶液的制备</w:t>
      </w:r>
    </w:p>
    <w:p w14:paraId="74F62D5D">
      <w:pPr>
        <w:pStyle w:val="21"/>
        <w:rPr>
          <w:rFonts w:hint="eastAsia" w:eastAsia="宋体"/>
          <w:szCs w:val="21"/>
          <w:lang w:eastAsia="zh-CN"/>
        </w:rPr>
      </w:pPr>
      <w:r>
        <w:rPr>
          <w:rFonts w:hint="eastAsia"/>
          <w:szCs w:val="21"/>
        </w:rPr>
        <w:t>称取0.0</w:t>
      </w:r>
      <w:r>
        <w:rPr>
          <w:rFonts w:hint="eastAsia"/>
          <w:szCs w:val="21"/>
          <w:lang w:val="en-US" w:eastAsia="zh-CN"/>
        </w:rPr>
        <w:t>6</w:t>
      </w:r>
      <w:r>
        <w:rPr>
          <w:rFonts w:hint="eastAsia"/>
          <w:szCs w:val="21"/>
        </w:rPr>
        <w:t xml:space="preserve"> g（精确至0.000</w:t>
      </w:r>
      <w:r>
        <w:rPr>
          <w:rFonts w:hint="eastAsia"/>
          <w:szCs w:val="21"/>
          <w:lang w:val="en-US" w:eastAsia="zh-CN"/>
        </w:rPr>
        <w:t xml:space="preserve"> </w:t>
      </w:r>
      <w:r>
        <w:rPr>
          <w:rFonts w:hint="eastAsia"/>
          <w:szCs w:val="21"/>
        </w:rPr>
        <w:t>1 g）</w:t>
      </w:r>
      <w:r>
        <w:rPr>
          <w:rFonts w:hint="eastAsia"/>
          <w:szCs w:val="21"/>
          <w:lang w:val="en-US" w:eastAsia="zh-CN"/>
        </w:rPr>
        <w:t>解草酯</w:t>
      </w:r>
      <w:r>
        <w:rPr>
          <w:rFonts w:hint="eastAsia"/>
          <w:szCs w:val="21"/>
        </w:rPr>
        <w:t>标样</w:t>
      </w:r>
      <w:r>
        <w:rPr>
          <w:rFonts w:hint="eastAsia"/>
          <w:szCs w:val="21"/>
          <w:lang w:eastAsia="zh-CN"/>
        </w:rPr>
        <w:t>，</w:t>
      </w:r>
      <w:r>
        <w:rPr>
          <w:rFonts w:hint="eastAsia"/>
          <w:szCs w:val="21"/>
        </w:rPr>
        <w:t>置于</w:t>
      </w:r>
      <w:r>
        <w:rPr>
          <w:rFonts w:hint="eastAsia"/>
          <w:szCs w:val="21"/>
          <w:lang w:val="en-US" w:eastAsia="zh-CN"/>
        </w:rPr>
        <w:t>100</w:t>
      </w:r>
      <w:r>
        <w:rPr>
          <w:rFonts w:hint="eastAsia"/>
          <w:szCs w:val="21"/>
        </w:rPr>
        <w:t xml:space="preserve"> mL容量瓶中，</w:t>
      </w:r>
      <w:r>
        <w:rPr>
          <w:rFonts w:hint="eastAsia"/>
          <w:szCs w:val="21"/>
          <w:lang w:val="en-US" w:eastAsia="zh-CN"/>
        </w:rPr>
        <w:t>加入</w:t>
      </w:r>
      <w:r>
        <w:rPr>
          <w:rFonts w:hint="eastAsia"/>
          <w:szCs w:val="21"/>
        </w:rPr>
        <w:t>60 mL乙腈，超声3</w:t>
      </w:r>
      <w:r>
        <w:rPr>
          <w:rFonts w:hint="eastAsia"/>
          <w:szCs w:val="21"/>
          <w:lang w:val="en-US" w:eastAsia="zh-CN"/>
        </w:rPr>
        <w:t xml:space="preserve"> </w:t>
      </w:r>
      <w:r>
        <w:rPr>
          <w:rFonts w:hint="eastAsia"/>
          <w:szCs w:val="21"/>
        </w:rPr>
        <w:t>min，冷却</w:t>
      </w:r>
      <w:r>
        <w:rPr>
          <w:rFonts w:hint="eastAsia"/>
          <w:szCs w:val="21"/>
          <w:lang w:val="en-US" w:eastAsia="zh-CN"/>
        </w:rPr>
        <w:t>至室温</w:t>
      </w:r>
      <w:r>
        <w:rPr>
          <w:rFonts w:hint="eastAsia"/>
          <w:szCs w:val="21"/>
        </w:rPr>
        <w:t>后，</w:t>
      </w:r>
      <w:r>
        <w:rPr>
          <w:rFonts w:hint="eastAsia"/>
          <w:szCs w:val="21"/>
          <w:lang w:val="en-US" w:eastAsia="zh-CN"/>
        </w:rPr>
        <w:t>用</w:t>
      </w:r>
      <w:r>
        <w:rPr>
          <w:rFonts w:hint="eastAsia"/>
          <w:szCs w:val="21"/>
        </w:rPr>
        <w:t>乙腈稀释至刻度，摇匀。</w:t>
      </w:r>
    </w:p>
    <w:p w14:paraId="4576987B">
      <w:pPr>
        <w:pStyle w:val="21"/>
        <w:rPr>
          <w:rFonts w:hint="eastAsia" w:ascii="宋体" w:hAnsi="Times New Roman" w:eastAsia="宋体" w:cs="Times New Roman"/>
          <w:szCs w:val="21"/>
        </w:rPr>
      </w:pPr>
      <w:r>
        <w:rPr>
          <w:rFonts w:hint="eastAsia" w:ascii="宋体" w:hAnsi="Times New Roman" w:eastAsia="宋体" w:cs="Times New Roman"/>
          <w:szCs w:val="21"/>
        </w:rPr>
        <w:t>称取0.05 g（精确至0.000</w:t>
      </w:r>
      <w:r>
        <w:rPr>
          <w:rFonts w:hint="eastAsia" w:ascii="宋体" w:hAnsi="Times New Roman" w:eastAsia="宋体" w:cs="Times New Roman"/>
          <w:szCs w:val="21"/>
          <w:lang w:val="en-US" w:eastAsia="zh-CN"/>
        </w:rPr>
        <w:t xml:space="preserve"> </w:t>
      </w:r>
      <w:r>
        <w:rPr>
          <w:rFonts w:hint="eastAsia" w:ascii="宋体" w:hAnsi="Times New Roman" w:eastAsia="宋体" w:cs="Times New Roman"/>
          <w:szCs w:val="21"/>
        </w:rPr>
        <w:t>1 g）唑啉草酯标样，置于100 mL容量瓶中，</w:t>
      </w:r>
      <w:r>
        <w:rPr>
          <w:rFonts w:hint="eastAsia" w:ascii="宋体" w:hAnsi="Times New Roman" w:eastAsia="宋体" w:cs="Times New Roman"/>
          <w:szCs w:val="21"/>
          <w:lang w:val="en-US" w:eastAsia="zh-CN"/>
        </w:rPr>
        <w:t>加入20 mL</w:t>
      </w:r>
      <w:r>
        <w:rPr>
          <w:rFonts w:hint="eastAsia" w:cs="Times New Roman"/>
          <w:szCs w:val="21"/>
          <w:lang w:val="en-US" w:eastAsia="zh-CN"/>
        </w:rPr>
        <w:t>解草酯</w:t>
      </w:r>
      <w:r>
        <w:rPr>
          <w:rFonts w:hint="eastAsia" w:ascii="宋体" w:hAnsi="Times New Roman" w:eastAsia="宋体" w:cs="Times New Roman"/>
          <w:szCs w:val="21"/>
          <w:lang w:val="en-US" w:eastAsia="zh-CN"/>
        </w:rPr>
        <w:t>标样溶液，加入</w:t>
      </w:r>
      <w:r>
        <w:rPr>
          <w:rFonts w:hint="eastAsia" w:ascii="宋体" w:hAnsi="Times New Roman" w:eastAsia="宋体" w:cs="Times New Roman"/>
          <w:szCs w:val="21"/>
        </w:rPr>
        <w:t>60 mL乙腈，超声3</w:t>
      </w:r>
      <w:r>
        <w:rPr>
          <w:rFonts w:hint="eastAsia" w:ascii="宋体" w:hAnsi="Times New Roman" w:eastAsia="宋体" w:cs="Times New Roman"/>
          <w:szCs w:val="21"/>
          <w:lang w:val="en-US" w:eastAsia="zh-CN"/>
        </w:rPr>
        <w:t xml:space="preserve"> </w:t>
      </w:r>
      <w:r>
        <w:rPr>
          <w:rFonts w:hint="eastAsia" w:ascii="宋体" w:hAnsi="Times New Roman" w:eastAsia="宋体" w:cs="Times New Roman"/>
          <w:szCs w:val="21"/>
        </w:rPr>
        <w:t>min，冷却</w:t>
      </w:r>
      <w:r>
        <w:rPr>
          <w:rFonts w:hint="eastAsia" w:ascii="宋体" w:hAnsi="Times New Roman" w:eastAsia="宋体" w:cs="Times New Roman"/>
          <w:szCs w:val="21"/>
          <w:lang w:val="en-US" w:eastAsia="zh-CN"/>
        </w:rPr>
        <w:t>至室温</w:t>
      </w:r>
      <w:r>
        <w:rPr>
          <w:rFonts w:hint="eastAsia" w:ascii="宋体" w:hAnsi="Times New Roman" w:eastAsia="宋体" w:cs="Times New Roman"/>
          <w:szCs w:val="21"/>
        </w:rPr>
        <w:t>后，</w:t>
      </w:r>
      <w:r>
        <w:rPr>
          <w:rFonts w:hint="eastAsia" w:ascii="宋体" w:hAnsi="Times New Roman" w:eastAsia="宋体" w:cs="Times New Roman"/>
          <w:szCs w:val="21"/>
          <w:lang w:val="en-US" w:eastAsia="zh-CN"/>
        </w:rPr>
        <w:t>用</w:t>
      </w:r>
      <w:r>
        <w:rPr>
          <w:rFonts w:hint="eastAsia" w:ascii="宋体" w:hAnsi="Times New Roman" w:eastAsia="宋体" w:cs="Times New Roman"/>
          <w:szCs w:val="21"/>
        </w:rPr>
        <w:t>乙腈稀释至刻度，摇匀。</w:t>
      </w:r>
    </w:p>
    <w:p w14:paraId="10C7822D">
      <w:pPr>
        <w:pStyle w:val="62"/>
        <w:numPr>
          <w:ilvl w:val="3"/>
          <w:numId w:val="18"/>
        </w:numPr>
        <w:spacing w:before="156" w:after="156"/>
        <w:rPr>
          <w:rFonts w:hint="eastAsia" w:hAnsi="Times New Roman" w:cs="Times New Roman"/>
        </w:rPr>
      </w:pPr>
      <w:bookmarkStart w:id="90" w:name="_Hlk147668599"/>
      <w:r>
        <w:rPr>
          <w:rFonts w:hint="eastAsia" w:hAnsi="Times New Roman" w:cs="Times New Roman"/>
        </w:rPr>
        <w:t>试样溶液的制备</w:t>
      </w:r>
    </w:p>
    <w:bookmarkEnd w:id="90"/>
    <w:p w14:paraId="72FE0A3B">
      <w:pPr>
        <w:pStyle w:val="21"/>
        <w:rPr>
          <w:rFonts w:hint="eastAsia"/>
          <w:szCs w:val="21"/>
        </w:rPr>
      </w:pPr>
      <w:bookmarkStart w:id="91" w:name="_Hlk56851728"/>
      <w:r>
        <w:rPr>
          <w:rFonts w:hint="eastAsia"/>
          <w:szCs w:val="21"/>
        </w:rPr>
        <w:t>称取含唑啉草酯0.</w:t>
      </w:r>
      <w:r>
        <w:rPr>
          <w:szCs w:val="21"/>
        </w:rPr>
        <w:t>05</w:t>
      </w:r>
      <w:r>
        <w:rPr>
          <w:rFonts w:hint="eastAsia"/>
          <w:szCs w:val="21"/>
        </w:rPr>
        <w:t xml:space="preserve"> g（精确至0.000</w:t>
      </w:r>
      <w:r>
        <w:rPr>
          <w:rFonts w:hint="eastAsia"/>
          <w:szCs w:val="21"/>
          <w:lang w:val="en-US" w:eastAsia="zh-CN"/>
        </w:rPr>
        <w:t xml:space="preserve"> </w:t>
      </w:r>
      <w:r>
        <w:rPr>
          <w:rFonts w:hint="eastAsia"/>
          <w:szCs w:val="21"/>
        </w:rPr>
        <w:t>1 g）的</w:t>
      </w:r>
      <w:r>
        <w:rPr>
          <w:rFonts w:hint="eastAsia"/>
        </w:rPr>
        <w:t>可分散油悬浮剂</w:t>
      </w:r>
      <w:r>
        <w:rPr>
          <w:rFonts w:hint="eastAsia"/>
          <w:szCs w:val="21"/>
        </w:rPr>
        <w:t>试样，</w:t>
      </w:r>
      <w:bookmarkEnd w:id="91"/>
      <w:r>
        <w:rPr>
          <w:rFonts w:hint="eastAsia"/>
          <w:szCs w:val="21"/>
        </w:rPr>
        <w:t>置于10</w:t>
      </w:r>
      <w:r>
        <w:rPr>
          <w:szCs w:val="21"/>
        </w:rPr>
        <w:t>0 mL</w:t>
      </w:r>
      <w:r>
        <w:rPr>
          <w:rFonts w:hint="eastAsia"/>
          <w:szCs w:val="21"/>
        </w:rPr>
        <w:t>容量瓶中，</w:t>
      </w:r>
      <w:r>
        <w:rPr>
          <w:rFonts w:hint="eastAsia"/>
          <w:szCs w:val="21"/>
          <w:lang w:val="en-US" w:eastAsia="zh-CN"/>
        </w:rPr>
        <w:t>加入</w:t>
      </w:r>
      <w:r>
        <w:rPr>
          <w:rFonts w:hint="eastAsia"/>
          <w:szCs w:val="21"/>
        </w:rPr>
        <w:t>60 mL乙腈，超声3</w:t>
      </w:r>
      <w:r>
        <w:rPr>
          <w:rFonts w:hint="eastAsia"/>
          <w:szCs w:val="21"/>
          <w:lang w:val="en-US" w:eastAsia="zh-CN"/>
        </w:rPr>
        <w:t xml:space="preserve"> </w:t>
      </w:r>
      <w:r>
        <w:rPr>
          <w:rFonts w:hint="eastAsia"/>
          <w:szCs w:val="21"/>
        </w:rPr>
        <w:t>min，冷却</w:t>
      </w:r>
      <w:r>
        <w:rPr>
          <w:rFonts w:hint="eastAsia"/>
          <w:szCs w:val="21"/>
          <w:lang w:val="en-US" w:eastAsia="zh-CN"/>
        </w:rPr>
        <w:t>至室温</w:t>
      </w:r>
      <w:r>
        <w:rPr>
          <w:rFonts w:hint="eastAsia"/>
          <w:szCs w:val="21"/>
        </w:rPr>
        <w:t>后，</w:t>
      </w:r>
      <w:r>
        <w:rPr>
          <w:rFonts w:hint="eastAsia"/>
          <w:szCs w:val="21"/>
          <w:lang w:val="en-US" w:eastAsia="zh-CN"/>
        </w:rPr>
        <w:t>用</w:t>
      </w:r>
      <w:r>
        <w:rPr>
          <w:rFonts w:hint="eastAsia"/>
          <w:szCs w:val="21"/>
        </w:rPr>
        <w:t>乙腈稀释至刻度，摇匀</w:t>
      </w:r>
      <w:r>
        <w:rPr>
          <w:rFonts w:hint="eastAsia"/>
        </w:rPr>
        <w:t>，过滤</w:t>
      </w:r>
      <w:r>
        <w:rPr>
          <w:rFonts w:hint="eastAsia"/>
          <w:szCs w:val="21"/>
        </w:rPr>
        <w:t>。</w:t>
      </w:r>
    </w:p>
    <w:p w14:paraId="5C4F2EA5">
      <w:pPr>
        <w:pStyle w:val="62"/>
        <w:numPr>
          <w:ilvl w:val="3"/>
          <w:numId w:val="18"/>
        </w:numPr>
        <w:spacing w:before="156" w:after="156"/>
        <w:rPr>
          <w:rFonts w:hint="eastAsia" w:hAnsi="Times New Roman" w:cs="Times New Roman"/>
        </w:rPr>
      </w:pPr>
      <w:r>
        <w:rPr>
          <w:rFonts w:hint="eastAsia" w:hAnsi="Times New Roman" w:cs="Times New Roman"/>
        </w:rPr>
        <w:t>测定</w:t>
      </w:r>
    </w:p>
    <w:p w14:paraId="3DFBAC7C">
      <w:pPr>
        <w:pStyle w:val="73"/>
        <w:numPr>
          <w:ilvl w:val="4"/>
          <w:numId w:val="0"/>
        </w:numPr>
        <w:bidi w:val="0"/>
        <w:ind w:leftChars="0" w:firstLine="420" w:firstLineChars="200"/>
        <w:rPr>
          <w:rFonts w:hint="eastAsia" w:ascii="宋体" w:hAnsi="宋体" w:eastAsia="宋体" w:cs="宋体"/>
        </w:rPr>
      </w:pPr>
      <w:r>
        <w:rPr>
          <w:rFonts w:hint="eastAsia" w:ascii="宋体" w:hAnsi="宋体" w:eastAsia="宋体" w:cs="宋体"/>
        </w:rPr>
        <w:t>在5.5.4的操作条件下，待仪器稳定后，连续注入数针标样溶液，直至相邻两针</w:t>
      </w:r>
      <w:r>
        <w:rPr>
          <w:rFonts w:hint="eastAsia" w:ascii="宋体" w:hAnsi="宋体" w:eastAsia="宋体" w:cs="宋体"/>
          <w:lang w:eastAsia="zh-CN"/>
        </w:rPr>
        <w:t>唑啉草酯（</w:t>
      </w:r>
      <w:r>
        <w:rPr>
          <w:rFonts w:hint="eastAsia" w:ascii="宋体" w:hAnsi="宋体" w:eastAsia="宋体" w:cs="宋体"/>
          <w:lang w:val="en-US" w:eastAsia="zh-CN"/>
        </w:rPr>
        <w:t>解草酯</w:t>
      </w:r>
      <w:r>
        <w:rPr>
          <w:rFonts w:hint="eastAsia" w:ascii="宋体" w:hAnsi="宋体" w:eastAsia="宋体" w:cs="宋体"/>
          <w:lang w:eastAsia="zh-CN"/>
        </w:rPr>
        <w:t>）</w:t>
      </w:r>
      <w:r>
        <w:rPr>
          <w:rFonts w:hint="eastAsia" w:ascii="宋体" w:hAnsi="宋体" w:eastAsia="宋体" w:cs="宋体"/>
        </w:rPr>
        <w:t>峰面积相对变化小于1.2%后,按照标样溶液、试样溶液、试样溶液、标样溶液的顺序进行测定。</w:t>
      </w:r>
    </w:p>
    <w:p w14:paraId="2F9AAEBB">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计算</w:t>
      </w:r>
    </w:p>
    <w:p w14:paraId="4581F36B">
      <w:pPr>
        <w:ind w:firstLine="480"/>
        <w:rPr>
          <w:rFonts w:ascii="宋体" w:hAnsi="宋体"/>
        </w:rPr>
      </w:pPr>
      <w:r>
        <w:rPr>
          <w:rFonts w:hint="eastAsia"/>
        </w:rPr>
        <w:t>将测得的两针试样溶液以及试样前后两针标样溶液中</w:t>
      </w:r>
      <w:r>
        <w:rPr>
          <w:rFonts w:hint="eastAsia"/>
          <w:lang w:eastAsia="zh-CN"/>
        </w:rPr>
        <w:t>唑啉草酯（</w:t>
      </w:r>
      <w:r>
        <w:rPr>
          <w:rFonts w:hint="eastAsia"/>
          <w:lang w:val="en-US" w:eastAsia="zh-CN"/>
        </w:rPr>
        <w:t>解草酯</w:t>
      </w:r>
      <w:r>
        <w:rPr>
          <w:rFonts w:hint="eastAsia"/>
          <w:lang w:eastAsia="zh-CN"/>
        </w:rPr>
        <w:t>）</w:t>
      </w:r>
      <w:r>
        <w:rPr>
          <w:rFonts w:hint="eastAsia"/>
        </w:rPr>
        <w:t>的峰面积分别进行平均。</w:t>
      </w:r>
      <w:r>
        <w:rPr>
          <w:rFonts w:hint="eastAsia" w:ascii="宋体" w:hAnsi="宋体"/>
        </w:rPr>
        <w:t>试样中</w:t>
      </w:r>
      <w:r>
        <w:rPr>
          <w:rFonts w:hint="eastAsia" w:ascii="宋体" w:hAnsi="宋体"/>
          <w:lang w:eastAsia="zh-CN"/>
        </w:rPr>
        <w:t>唑啉草酯（</w:t>
      </w:r>
      <w:r>
        <w:rPr>
          <w:rFonts w:hint="eastAsia" w:ascii="宋体" w:hAnsi="宋体"/>
          <w:lang w:val="en-US" w:eastAsia="zh-CN"/>
        </w:rPr>
        <w:t>解草酯</w:t>
      </w:r>
      <w:r>
        <w:rPr>
          <w:rFonts w:hint="eastAsia" w:ascii="宋体" w:hAnsi="宋体"/>
          <w:lang w:eastAsia="zh-CN"/>
        </w:rPr>
        <w:t>）</w:t>
      </w:r>
      <w:r>
        <w:rPr>
          <w:rFonts w:hint="eastAsia" w:ascii="宋体" w:hAnsi="宋体"/>
        </w:rPr>
        <w:t>的质量分数按</w:t>
      </w:r>
      <w:r>
        <w:rPr>
          <w:rFonts w:hint="eastAsia"/>
        </w:rPr>
        <w:t>公式</w:t>
      </w:r>
      <w:r>
        <w:rPr>
          <w:rFonts w:ascii="宋体" w:hAnsi="宋体"/>
        </w:rPr>
        <w:t>(</w:t>
      </w:r>
      <w:r>
        <w:rPr>
          <w:rFonts w:hint="eastAsia" w:ascii="宋体" w:hAnsi="宋体"/>
        </w:rPr>
        <w:t>1</w:t>
      </w:r>
      <w:r>
        <w:rPr>
          <w:rFonts w:ascii="宋体" w:hAnsi="宋体"/>
        </w:rPr>
        <w:t>)</w:t>
      </w:r>
      <w:r>
        <w:rPr>
          <w:rFonts w:hint="eastAsia" w:ascii="宋体" w:hAnsi="宋体"/>
        </w:rPr>
        <w:t>计算，</w:t>
      </w:r>
      <w:r>
        <w:rPr>
          <w:rFonts w:hint="eastAsia" w:ascii="宋体" w:hAnsi="宋体"/>
          <w:lang w:val="en-US" w:eastAsia="zh-CN"/>
        </w:rPr>
        <w:t>唑啉草酯</w:t>
      </w:r>
      <w:r>
        <w:rPr>
          <w:rFonts w:hint="eastAsia" w:ascii="宋体" w:hAnsi="宋体"/>
        </w:rPr>
        <w:t>质量浓度按公式（2）计算：</w:t>
      </w:r>
    </w:p>
    <w:p w14:paraId="54B31FBB">
      <w:pPr>
        <w:pStyle w:val="67"/>
        <w:snapToGrid w:val="0"/>
        <w:jc w:val="right"/>
      </w:pPr>
      <w:bookmarkStart w:id="92" w:name="_Hlk153104826"/>
      <w:r>
        <w:rPr>
          <w:position w:val="-30"/>
        </w:rPr>
        <w:object>
          <v:shape id="_x0000_i1025" o:spt="75" type="#_x0000_t75" style="height:35pt;width:86.35pt;" o:ole="t" filled="f" o:preferrelative="t" stroked="f" coordsize="21600,21600">
            <v:path/>
            <v:fill on="f" focussize="0,0"/>
            <v:stroke on="f"/>
            <v:imagedata r:id="rId10" o:title=""/>
            <o:lock v:ext="edit" aspectratio="t"/>
            <w10:wrap type="none"/>
            <w10:anchorlock/>
          </v:shape>
          <o:OLEObject Type="Embed" ProgID="Equation.3" ShapeID="_x0000_i1025" DrawAspect="Content" ObjectID="_1468075725" r:id="rId9">
            <o:LockedField>false</o:LockedField>
          </o:OLEObject>
        </w:object>
      </w:r>
      <w:bookmarkEnd w:id="92"/>
      <w:r>
        <w:rPr>
          <w:rFonts w:hint="eastAsia"/>
        </w:rPr>
        <w:t>..................................</w:t>
      </w:r>
      <w:r>
        <w:t>(</w:t>
      </w:r>
      <w:r>
        <w:fldChar w:fldCharType="begin"/>
      </w:r>
      <w:r>
        <w:instrText xml:space="preserve"> SEQ 标准自动公式 \* ARABIC </w:instrText>
      </w:r>
      <w:r>
        <w:fldChar w:fldCharType="separate"/>
      </w:r>
      <w:r>
        <w:t>1</w:t>
      </w:r>
      <w:r>
        <w:fldChar w:fldCharType="end"/>
      </w:r>
      <w:r>
        <w:t>)</w:t>
      </w:r>
    </w:p>
    <w:p w14:paraId="3851D3E0">
      <w:pPr>
        <w:pStyle w:val="21"/>
        <w:jc w:val="right"/>
      </w:pPr>
      <w:r>
        <w:rPr>
          <w:position w:val="-30"/>
          <w:sz w:val="24"/>
        </w:rPr>
        <w:object>
          <v:shape id="_x0000_i1026" o:spt="75" type="#_x0000_t75" style="height:34.1pt;width:121.95pt;" o:ole="t" filled="f" o:preferrelative="t" stroked="f" coordsize="21600,21600">
            <v:path/>
            <v:fill on="f" focussize="0,0"/>
            <v:stroke on="f"/>
            <v:imagedata r:id="rId12" o:title=""/>
            <o:lock v:ext="edit" aspectratio="t"/>
            <w10:wrap type="none"/>
            <w10:anchorlock/>
          </v:shape>
          <o:OLEObject Type="Embed" ProgID="Equation.3" ShapeID="_x0000_i1026" DrawAspect="Content" ObjectID="_1468075726" r:id="rId11">
            <o:LockedField>false</o:LockedField>
          </o:OLEObject>
        </w:object>
      </w:r>
      <w:r>
        <w:rPr>
          <w:rFonts w:hint="eastAsia"/>
        </w:rPr>
        <w:t>..............................</w:t>
      </w:r>
      <w:r>
        <w:t>(</w:t>
      </w:r>
      <w:r>
        <w:fldChar w:fldCharType="begin"/>
      </w:r>
      <w:r>
        <w:instrText xml:space="preserve"> SEQ 标准自动公式 \* ARABIC </w:instrText>
      </w:r>
      <w:r>
        <w:fldChar w:fldCharType="separate"/>
      </w:r>
      <w:r>
        <w:t>2</w:t>
      </w:r>
      <w:r>
        <w:fldChar w:fldCharType="end"/>
      </w:r>
      <w:r>
        <w:t>)</w:t>
      </w:r>
    </w:p>
    <w:p w14:paraId="19730095">
      <w:pPr>
        <w:pStyle w:val="67"/>
        <w:ind w:firstLine="420" w:firstLineChars="200"/>
        <w:rPr>
          <w:rFonts w:hint="eastAsia"/>
        </w:rPr>
      </w:pPr>
      <w:r>
        <w:rPr>
          <w:rFonts w:hint="eastAsia"/>
        </w:rPr>
        <w:t>式中：</w:t>
      </w:r>
    </w:p>
    <w:p w14:paraId="089E3F08">
      <w:pPr>
        <w:pStyle w:val="21"/>
        <w:rPr>
          <w:rFonts w:hint="eastAsia" w:hAnsi="宋体" w:cs="宋体"/>
        </w:rPr>
      </w:pPr>
      <w:r>
        <w:rPr>
          <w:rFonts w:hint="eastAsia" w:hAnsi="宋体" w:cs="宋体"/>
          <w:i/>
          <w:lang w:val="en-US" w:eastAsia="zh-CN"/>
        </w:rPr>
        <w:t>w</w:t>
      </w:r>
      <w:r>
        <w:rPr>
          <w:rFonts w:hint="eastAsia" w:hAnsi="宋体" w:cs="宋体"/>
          <w:vertAlign w:val="subscript"/>
        </w:rPr>
        <w:t>1</w:t>
      </w:r>
      <w:r>
        <w:rPr>
          <w:rFonts w:hint="eastAsia" w:hAnsi="宋体" w:cs="宋体"/>
          <w:spacing w:val="-60"/>
        </w:rPr>
        <w:t>—</w:t>
      </w:r>
      <w:r>
        <w:rPr>
          <w:rFonts w:hint="eastAsia" w:hAnsi="宋体" w:cs="宋体"/>
        </w:rPr>
        <w:t>—试样中</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的质量分数，</w:t>
      </w:r>
      <w:r>
        <w:rPr>
          <w:rFonts w:hint="eastAsia"/>
        </w:rPr>
        <w:t>%</w:t>
      </w:r>
      <w:r>
        <w:rPr>
          <w:rFonts w:hint="eastAsia" w:hAnsi="宋体" w:cs="宋体"/>
        </w:rPr>
        <w:t>；</w:t>
      </w:r>
    </w:p>
    <w:p w14:paraId="2C88A2FA">
      <w:pPr>
        <w:pStyle w:val="21"/>
        <w:rPr>
          <w:rFonts w:hint="eastAsia" w:hAnsi="宋体" w:cs="宋体"/>
        </w:rPr>
      </w:pPr>
      <w:r>
        <w:rPr>
          <w:rFonts w:hint="eastAsia" w:hAnsi="宋体" w:cs="宋体"/>
          <w:i/>
        </w:rPr>
        <w:t>A</w:t>
      </w:r>
      <w:r>
        <w:rPr>
          <w:rFonts w:hint="eastAsia" w:hAnsi="宋体" w:cs="宋体"/>
          <w:vertAlign w:val="subscript"/>
        </w:rPr>
        <w:t>2</w:t>
      </w:r>
      <w:r>
        <w:rPr>
          <w:rFonts w:hint="eastAsia" w:hAnsi="宋体" w:cs="宋体"/>
          <w:spacing w:val="-60"/>
        </w:rPr>
        <w:t>—</w:t>
      </w:r>
      <w:r>
        <w:rPr>
          <w:rFonts w:hint="eastAsia" w:hAnsi="宋体" w:cs="宋体"/>
        </w:rPr>
        <w:t>—试样溶液中，</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峰面积的平均值；</w:t>
      </w:r>
    </w:p>
    <w:p w14:paraId="746CA51D">
      <w:pPr>
        <w:pStyle w:val="21"/>
        <w:rPr>
          <w:rFonts w:hint="eastAsia" w:hAnsi="宋体" w:cs="宋体"/>
        </w:rPr>
      </w:pPr>
      <w:r>
        <w:rPr>
          <w:rFonts w:hint="eastAsia" w:hAnsi="宋体" w:cs="宋体"/>
          <w:i/>
        </w:rPr>
        <w:t>m</w:t>
      </w:r>
      <w:r>
        <w:rPr>
          <w:rFonts w:hint="eastAsia" w:hAnsi="宋体" w:cs="宋体"/>
          <w:vertAlign w:val="subscript"/>
        </w:rPr>
        <w:t>1</w:t>
      </w:r>
      <w:r>
        <w:rPr>
          <w:rFonts w:hint="eastAsia" w:hAnsi="宋体" w:cs="宋体"/>
          <w:spacing w:val="-60"/>
        </w:rPr>
        <w:t>—</w:t>
      </w:r>
      <w:r>
        <w:rPr>
          <w:rFonts w:hint="eastAsia" w:hAnsi="宋体" w:cs="宋体"/>
        </w:rPr>
        <w:t>—</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标样质量的数值，单位为克（g）；</w:t>
      </w:r>
    </w:p>
    <w:p w14:paraId="080A7127">
      <w:pPr>
        <w:pStyle w:val="21"/>
        <w:rPr>
          <w:rFonts w:hint="eastAsia" w:hAnsi="宋体" w:cs="宋体"/>
        </w:rPr>
      </w:pPr>
      <w:r>
        <w:rPr>
          <w:rFonts w:hint="eastAsia" w:hAnsi="宋体" w:cs="宋体"/>
          <w:i/>
          <w:lang w:val="en-US" w:eastAsia="zh-CN"/>
        </w:rPr>
        <w:t>w</w:t>
      </w:r>
      <w:r>
        <w:rPr>
          <w:rFonts w:hint="eastAsia" w:hAnsi="宋体" w:cs="宋体"/>
          <w:vertAlign w:val="subscript"/>
        </w:rPr>
        <w:t>b</w:t>
      </w:r>
      <w:r>
        <w:rPr>
          <w:rFonts w:hint="eastAsia" w:hAnsi="宋体" w:cs="宋体"/>
          <w:spacing w:val="-60"/>
        </w:rPr>
        <w:t>—</w:t>
      </w:r>
      <w:r>
        <w:rPr>
          <w:rFonts w:hint="eastAsia" w:hAnsi="宋体" w:cs="宋体"/>
        </w:rPr>
        <w:t>—标样中</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的质量分数，</w:t>
      </w:r>
      <w:r>
        <w:rPr>
          <w:rFonts w:hint="eastAsia"/>
        </w:rPr>
        <w:t>%</w:t>
      </w:r>
      <w:r>
        <w:rPr>
          <w:rFonts w:hint="eastAsia" w:hAnsi="宋体" w:cs="宋体"/>
        </w:rPr>
        <w:t>；</w:t>
      </w:r>
    </w:p>
    <w:p w14:paraId="6C1DC8C5">
      <w:pPr>
        <w:pStyle w:val="21"/>
        <w:rPr>
          <w:rFonts w:hint="eastAsia" w:hAnsi="宋体" w:cs="宋体"/>
        </w:rPr>
      </w:pPr>
      <w:r>
        <w:rPr>
          <w:rFonts w:hint="eastAsia" w:hAnsi="宋体" w:cs="宋体"/>
          <w:i/>
        </w:rPr>
        <w:t>A</w:t>
      </w:r>
      <w:r>
        <w:rPr>
          <w:rFonts w:hint="eastAsia" w:hAnsi="宋体" w:cs="宋体"/>
          <w:vertAlign w:val="subscript"/>
        </w:rPr>
        <w:t>1</w:t>
      </w:r>
      <w:r>
        <w:rPr>
          <w:rFonts w:hint="eastAsia" w:hAnsi="宋体" w:cs="宋体"/>
          <w:spacing w:val="-60"/>
        </w:rPr>
        <w:t>—</w:t>
      </w:r>
      <w:r>
        <w:rPr>
          <w:rFonts w:hint="eastAsia" w:hAnsi="宋体" w:cs="宋体"/>
        </w:rPr>
        <w:t>—标样溶液中，</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峰面积的平均值；</w:t>
      </w:r>
    </w:p>
    <w:p w14:paraId="1CA5917C">
      <w:pPr>
        <w:pStyle w:val="21"/>
        <w:rPr>
          <w:rFonts w:hAnsi="宋体" w:cs="宋体"/>
        </w:rPr>
      </w:pPr>
      <w:r>
        <w:rPr>
          <w:rFonts w:hint="eastAsia" w:hAnsi="宋体" w:cs="宋体"/>
          <w:i/>
        </w:rPr>
        <w:t>m</w:t>
      </w:r>
      <w:r>
        <w:rPr>
          <w:rFonts w:hint="eastAsia" w:hAnsi="宋体" w:cs="宋体"/>
          <w:vertAlign w:val="subscript"/>
        </w:rPr>
        <w:t>2</w:t>
      </w:r>
      <w:r>
        <w:rPr>
          <w:rFonts w:hint="eastAsia" w:hAnsi="宋体" w:cs="宋体"/>
          <w:spacing w:val="-60"/>
        </w:rPr>
        <w:t>—</w:t>
      </w:r>
      <w:r>
        <w:rPr>
          <w:rFonts w:hint="eastAsia" w:hAnsi="宋体" w:cs="宋体"/>
        </w:rPr>
        <w:t>—试样的质量的数值，单位为克（g）；</w:t>
      </w:r>
    </w:p>
    <w:p w14:paraId="6045022D">
      <w:pPr>
        <w:pStyle w:val="21"/>
        <w:rPr>
          <w:rFonts w:hint="eastAsia" w:hAnsi="宋体" w:cs="宋体"/>
        </w:rPr>
      </w:pPr>
      <w:r>
        <w:rPr>
          <w:rFonts w:ascii="Times New Roman"/>
          <w:i/>
        </w:rPr>
        <w:t>ρ</w:t>
      </w:r>
      <w:r>
        <w:rPr>
          <w:rFonts w:hint="eastAsia" w:hAnsi="宋体"/>
          <w:vertAlign w:val="subscript"/>
        </w:rPr>
        <w:t>1</w:t>
      </w:r>
      <w:r>
        <w:rPr>
          <w:rFonts w:ascii="Times New Roman"/>
        </w:rPr>
        <w:t>—</w:t>
      </w:r>
      <w:r>
        <w:rPr>
          <w:rFonts w:hint="eastAsia" w:hAnsi="宋体"/>
        </w:rPr>
        <w:t>20 ℃时</w:t>
      </w:r>
      <w:r>
        <w:rPr>
          <w:rFonts w:ascii="Times New Roman"/>
        </w:rPr>
        <w:t>试样</w:t>
      </w:r>
      <w:r>
        <w:rPr>
          <w:rFonts w:hint="eastAsia" w:ascii="Times New Roman"/>
        </w:rPr>
        <w:t>中</w:t>
      </w:r>
      <w:r>
        <w:rPr>
          <w:rFonts w:hint="eastAsia" w:hAnsi="宋体" w:cs="宋体"/>
        </w:rPr>
        <w:t>唑啉草酯质量浓度的数值，单位为克每升（g/L）；</w:t>
      </w:r>
    </w:p>
    <w:p w14:paraId="30657F65">
      <w:pPr>
        <w:pStyle w:val="21"/>
        <w:rPr>
          <w:rFonts w:hint="eastAsia" w:ascii="宋体" w:hAnsi="宋体" w:eastAsia="宋体" w:cs="宋体"/>
          <w:lang w:eastAsia="zh-CN"/>
        </w:rPr>
      </w:pPr>
      <w:r>
        <w:rPr>
          <w:rFonts w:ascii="Times New Roman"/>
          <w:i/>
        </w:rPr>
        <w:t>ρ</w:t>
      </w:r>
      <w:r>
        <w:rPr>
          <w:rFonts w:ascii="Times New Roman"/>
        </w:rPr>
        <w:t>—</w:t>
      </w:r>
      <w:r>
        <w:rPr>
          <w:rFonts w:hint="eastAsia" w:hAnsi="宋体"/>
        </w:rPr>
        <w:t>20 ℃时</w:t>
      </w:r>
      <w:r>
        <w:rPr>
          <w:rFonts w:ascii="Times New Roman"/>
        </w:rPr>
        <w:t>试样</w:t>
      </w:r>
      <w:r>
        <w:rPr>
          <w:rFonts w:hint="eastAsia" w:ascii="Times New Roman"/>
        </w:rPr>
        <w:t>的密度的数值，</w:t>
      </w:r>
      <w:r>
        <w:rPr>
          <w:rFonts w:hint="eastAsia" w:hAnsi="宋体" w:cs="宋体"/>
        </w:rPr>
        <w:t>单位为克每毫升（g/mL）（按 GB/T 32776—2016中3.</w:t>
      </w:r>
      <w:r>
        <w:rPr>
          <w:rFonts w:hint="eastAsia" w:hAnsi="宋体" w:cs="宋体"/>
          <w:lang w:val="en-US" w:eastAsia="zh-CN"/>
        </w:rPr>
        <w:t>3</w:t>
      </w:r>
      <w:r>
        <w:rPr>
          <w:rFonts w:hint="eastAsia" w:hAnsi="宋体" w:cs="宋体"/>
        </w:rPr>
        <w:t>或3.</w:t>
      </w:r>
      <w:r>
        <w:rPr>
          <w:rFonts w:hint="eastAsia" w:hAnsi="宋体" w:cs="宋体"/>
          <w:lang w:val="en-US" w:eastAsia="zh-CN"/>
        </w:rPr>
        <w:t>4</w:t>
      </w:r>
      <w:r>
        <w:rPr>
          <w:rFonts w:hint="eastAsia" w:hAnsi="宋体" w:cs="宋体"/>
        </w:rPr>
        <w:t>进行测定）</w:t>
      </w:r>
      <w:r>
        <w:rPr>
          <w:rFonts w:hint="eastAsia" w:hAnsi="宋体" w:cs="宋体"/>
          <w:lang w:eastAsia="zh-CN"/>
        </w:rPr>
        <w:t>；</w:t>
      </w:r>
    </w:p>
    <w:p w14:paraId="5A16CF7B">
      <w:pPr>
        <w:pStyle w:val="21"/>
        <w:rPr>
          <w:rFonts w:hint="eastAsia" w:hAnsi="宋体" w:eastAsia="宋体" w:cs="宋体"/>
          <w:lang w:eastAsia="zh-CN"/>
        </w:rPr>
      </w:pPr>
      <w:r>
        <w:rPr>
          <w:rFonts w:hint="eastAsia"/>
          <w:i/>
        </w:rPr>
        <w:t>1</w:t>
      </w:r>
      <w:r>
        <w:rPr>
          <w:i/>
        </w:rPr>
        <w:t>0</w:t>
      </w:r>
      <w:r>
        <w:rPr>
          <w:rFonts w:ascii="Times New Roman"/>
          <w:spacing w:val="-60"/>
        </w:rPr>
        <w:t>—</w:t>
      </w:r>
      <w:r>
        <w:rPr>
          <w:rFonts w:ascii="Times New Roman"/>
        </w:rPr>
        <w:t>—</w:t>
      </w:r>
      <w:r>
        <w:rPr>
          <w:rFonts w:hint="eastAsia" w:ascii="Times New Roman"/>
        </w:rPr>
        <w:t>单位换算系数</w:t>
      </w:r>
      <w:r>
        <w:rPr>
          <w:rFonts w:hint="eastAsia" w:ascii="Times New Roman"/>
          <w:lang w:eastAsia="zh-CN"/>
        </w:rPr>
        <w:t>；</w:t>
      </w:r>
    </w:p>
    <w:p w14:paraId="52424945">
      <w:pPr>
        <w:pStyle w:val="21"/>
        <w:rPr>
          <w:rFonts w:hint="eastAsia" w:hAnsi="宋体" w:cs="宋体"/>
        </w:rPr>
      </w:pPr>
      <w:r>
        <w:rPr>
          <w:rFonts w:hint="eastAsia" w:ascii="宋体" w:hAnsi="宋体" w:eastAsia="宋体" w:cs="宋体"/>
          <w:i/>
          <w:iCs/>
          <w:lang w:val="en-US" w:eastAsia="zh-CN"/>
        </w:rPr>
        <w:t>n</w:t>
      </w:r>
      <w:r>
        <w:rPr>
          <w:rFonts w:hint="eastAsia" w:ascii="宋体" w:hAnsi="宋体" w:eastAsia="宋体" w:cs="宋体"/>
        </w:rPr>
        <w:t>—</w:t>
      </w:r>
      <w:r>
        <w:rPr>
          <w:rFonts w:hint="eastAsia" w:ascii="宋体" w:hAnsi="宋体" w:eastAsia="宋体" w:cs="宋体"/>
          <w:lang w:val="en-US" w:eastAsia="zh-CN"/>
        </w:rPr>
        <w:t>标样溶液的稀释倍数，</w:t>
      </w:r>
      <w:r>
        <w:rPr>
          <w:rFonts w:hint="eastAsia" w:ascii="宋体" w:hAnsi="宋体" w:eastAsia="宋体" w:cs="宋体"/>
          <w:i/>
          <w:iCs/>
          <w:lang w:val="en-US" w:eastAsia="zh-CN"/>
        </w:rPr>
        <w:t>n</w:t>
      </w:r>
      <w:r>
        <w:rPr>
          <w:rFonts w:hint="eastAsia" w:ascii="宋体" w:hAnsi="宋体" w:eastAsia="宋体" w:cs="宋体"/>
          <w:lang w:val="en-US" w:eastAsia="zh-CN"/>
        </w:rPr>
        <w:t>=1（唑啉草酯）；</w:t>
      </w:r>
      <w:r>
        <w:rPr>
          <w:rFonts w:hint="eastAsia" w:ascii="宋体" w:hAnsi="宋体" w:eastAsia="宋体" w:cs="宋体"/>
          <w:i/>
          <w:iCs/>
          <w:lang w:val="en-US" w:eastAsia="zh-CN"/>
        </w:rPr>
        <w:t>n</w:t>
      </w:r>
      <w:r>
        <w:rPr>
          <w:rFonts w:hint="eastAsia" w:ascii="宋体" w:hAnsi="宋体" w:eastAsia="宋体" w:cs="宋体"/>
          <w:lang w:val="en-US" w:eastAsia="zh-CN"/>
        </w:rPr>
        <w:t>=5</w:t>
      </w:r>
      <w:r>
        <w:rPr>
          <w:rFonts w:hint="eastAsia" w:ascii="Times New Roman"/>
          <w:lang w:val="en-US" w:eastAsia="zh-CN"/>
        </w:rPr>
        <w:t>（解草酯）</w:t>
      </w:r>
      <w:r>
        <w:rPr>
          <w:rFonts w:hint="eastAsia" w:hAnsi="宋体" w:cs="宋体"/>
        </w:rPr>
        <w:t>。</w:t>
      </w:r>
    </w:p>
    <w:p w14:paraId="1719BF30">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允许差</w:t>
      </w:r>
    </w:p>
    <w:p w14:paraId="5092303A">
      <w:pPr>
        <w:pStyle w:val="41"/>
        <w:numPr>
          <w:ilvl w:val="0"/>
          <w:numId w:val="0"/>
        </w:numPr>
        <w:spacing w:before="156" w:after="156"/>
        <w:ind w:firstLine="420" w:firstLineChars="200"/>
        <w:rPr>
          <w:rFonts w:hint="eastAsia" w:hAnsi="宋体"/>
          <w:szCs w:val="21"/>
        </w:rPr>
      </w:pPr>
      <w:r>
        <w:rPr>
          <w:rFonts w:hint="eastAsia" w:ascii="宋体" w:hAnsi="宋体" w:eastAsia="宋体"/>
        </w:rPr>
        <w:t>唑啉草酯质量分数两次平行测定结果之差，5%</w:t>
      </w:r>
      <w:r>
        <w:rPr>
          <w:rFonts w:hint="eastAsia" w:ascii="宋体" w:hAnsi="宋体" w:eastAsia="宋体"/>
          <w:lang w:eastAsia="zh-CN"/>
        </w:rPr>
        <w:t>可分散油悬浮剂</w:t>
      </w:r>
      <w:r>
        <w:rPr>
          <w:rFonts w:hint="eastAsia" w:ascii="宋体" w:hAnsi="宋体" w:eastAsia="宋体"/>
        </w:rPr>
        <w:t>应不大于0.2%，10%</w:t>
      </w:r>
      <w:r>
        <w:rPr>
          <w:rFonts w:hint="eastAsia" w:ascii="宋体" w:hAnsi="宋体" w:eastAsia="宋体"/>
          <w:lang w:eastAsia="zh-CN"/>
        </w:rPr>
        <w:t>可分散油悬浮剂</w:t>
      </w:r>
      <w:r>
        <w:rPr>
          <w:rFonts w:hint="eastAsia" w:ascii="宋体" w:hAnsi="宋体" w:eastAsia="宋体"/>
        </w:rPr>
        <w:t>应不大于0.3%，解草酯质量分数两次平行测定结果之差应不大于0.2%，分别取其算术平均值作为测定结果。</w:t>
      </w:r>
      <w:r>
        <w:rPr>
          <w:rFonts w:hint="eastAsia" w:hAnsi="宋体"/>
          <w:szCs w:val="21"/>
        </w:rPr>
        <w:t>—</w:t>
      </w:r>
    </w:p>
    <w:p w14:paraId="5B1F102D">
      <w:pPr>
        <w:pStyle w:val="42"/>
      </w:pPr>
      <w:r>
        <w:rPr>
          <w:rFonts w:hint="eastAsia"/>
        </w:rPr>
        <w:t>水分</w:t>
      </w:r>
    </w:p>
    <w:p w14:paraId="60A17A0E">
      <w:pPr>
        <w:pStyle w:val="42"/>
        <w:widowControl w:val="0"/>
        <w:numPr>
          <w:ilvl w:val="0"/>
          <w:numId w:val="0"/>
        </w:numPr>
        <w:spacing w:beforeLines="0" w:afterLines="0"/>
        <w:ind w:firstLine="420" w:firstLineChars="200"/>
        <w:jc w:val="both"/>
        <w:rPr>
          <w:rFonts w:ascii="宋体" w:hAnsi="宋体" w:eastAsia="宋体"/>
        </w:rPr>
      </w:pPr>
      <w:bookmarkStart w:id="93" w:name="_Toc494273394"/>
      <w:bookmarkStart w:id="94" w:name="_Toc188041030"/>
      <w:r>
        <w:rPr>
          <w:rFonts w:hint="eastAsia" w:ascii="宋体" w:hAnsi="宋体" w:eastAsia="宋体"/>
        </w:rPr>
        <w:t xml:space="preserve">按 </w:t>
      </w:r>
      <w:r>
        <w:rPr>
          <w:rFonts w:ascii="宋体" w:hAnsi="宋体" w:eastAsia="宋体"/>
        </w:rPr>
        <w:t>GB/T 160</w:t>
      </w:r>
      <w:bookmarkStart w:id="95" w:name="_Hlk181000890"/>
      <w:r>
        <w:rPr>
          <w:rFonts w:ascii="宋体" w:hAnsi="宋体" w:eastAsia="宋体"/>
        </w:rPr>
        <w:t>0</w:t>
      </w:r>
      <w:r>
        <w:rPr>
          <w:rFonts w:hint="eastAsia" w:ascii="宋体" w:hAnsi="宋体" w:eastAsia="宋体"/>
        </w:rPr>
        <w:t>-20</w:t>
      </w:r>
      <w:r>
        <w:rPr>
          <w:rFonts w:ascii="宋体" w:hAnsi="宋体" w:eastAsia="宋体"/>
        </w:rPr>
        <w:t>2</w:t>
      </w:r>
      <w:r>
        <w:rPr>
          <w:rFonts w:hint="eastAsia" w:ascii="宋体" w:hAnsi="宋体" w:eastAsia="宋体"/>
        </w:rPr>
        <w:t>1中</w:t>
      </w:r>
      <w:r>
        <w:rPr>
          <w:rFonts w:ascii="宋体" w:hAnsi="宋体" w:eastAsia="宋体"/>
        </w:rPr>
        <w:t>4.2</w:t>
      </w:r>
      <w:r>
        <w:rPr>
          <w:rFonts w:hint="eastAsia" w:ascii="宋体" w:hAnsi="宋体" w:eastAsia="宋体"/>
        </w:rPr>
        <w:t>进行</w:t>
      </w:r>
      <w:bookmarkEnd w:id="95"/>
      <w:r>
        <w:rPr>
          <w:rFonts w:hint="eastAsia" w:ascii="宋体" w:hAnsi="宋体" w:eastAsia="宋体"/>
        </w:rPr>
        <w:t>。</w:t>
      </w:r>
      <w:bookmarkEnd w:id="93"/>
      <w:bookmarkEnd w:id="94"/>
    </w:p>
    <w:p w14:paraId="5374E6CB">
      <w:pPr>
        <w:pStyle w:val="42"/>
      </w:pPr>
      <w:r>
        <w:rPr>
          <w:rFonts w:hint="eastAsia"/>
        </w:rPr>
        <w:t>pH</w:t>
      </w:r>
      <w:r>
        <w:rPr>
          <w:rFonts w:hint="eastAsia"/>
          <w:lang w:val="en-US" w:eastAsia="zh-CN"/>
        </w:rPr>
        <w:t>值</w:t>
      </w:r>
    </w:p>
    <w:p w14:paraId="5BEA0D05">
      <w:pPr>
        <w:pStyle w:val="42"/>
        <w:widowControl w:val="0"/>
        <w:numPr>
          <w:ilvl w:val="0"/>
          <w:numId w:val="0"/>
        </w:numPr>
        <w:spacing w:beforeLines="0" w:afterLines="0"/>
        <w:ind w:firstLine="420" w:firstLineChars="200"/>
        <w:jc w:val="both"/>
        <w:rPr>
          <w:rFonts w:ascii="宋体" w:hAnsi="宋体" w:eastAsia="宋体"/>
        </w:rPr>
      </w:pPr>
      <w:r>
        <w:rPr>
          <w:rFonts w:hint="eastAsia" w:ascii="宋体" w:hAnsi="宋体" w:eastAsia="宋体"/>
        </w:rPr>
        <w:t xml:space="preserve">按 </w:t>
      </w:r>
      <w:r>
        <w:rPr>
          <w:rFonts w:ascii="宋体" w:hAnsi="宋体" w:eastAsia="宋体"/>
        </w:rPr>
        <w:t>GB/T 1601</w:t>
      </w:r>
      <w:r>
        <w:rPr>
          <w:rFonts w:hint="eastAsia" w:ascii="宋体" w:hAnsi="宋体" w:eastAsia="宋体"/>
        </w:rPr>
        <w:t>进行。</w:t>
      </w:r>
    </w:p>
    <w:p w14:paraId="42ED4A80">
      <w:pPr>
        <w:pStyle w:val="42"/>
        <w:rPr>
          <w:rFonts w:ascii="Times New Roman"/>
        </w:rPr>
      </w:pPr>
      <w:bookmarkStart w:id="96" w:name="_Toc188041037"/>
      <w:bookmarkStart w:id="97" w:name="_Toc494273399"/>
      <w:bookmarkStart w:id="98" w:name="_Toc188041033"/>
      <w:r>
        <w:rPr>
          <w:rFonts w:hint="eastAsia"/>
        </w:rPr>
        <w:t>湿筛试验</w:t>
      </w:r>
      <w:bookmarkEnd w:id="96"/>
      <w:bookmarkEnd w:id="97"/>
    </w:p>
    <w:p w14:paraId="5E87D739">
      <w:pPr>
        <w:pStyle w:val="21"/>
      </w:pPr>
      <w:r>
        <w:rPr>
          <w:rFonts w:hint="eastAsia"/>
        </w:rPr>
        <w:t>按 GB/T 16150-</w:t>
      </w:r>
      <w:r>
        <w:t>1995</w:t>
      </w:r>
      <w:r>
        <w:rPr>
          <w:rFonts w:hint="eastAsia"/>
        </w:rPr>
        <w:t>中2.2进行。</w:t>
      </w:r>
    </w:p>
    <w:p w14:paraId="66DA28C8">
      <w:pPr>
        <w:pStyle w:val="42"/>
      </w:pPr>
      <w:bookmarkStart w:id="99" w:name="_Toc188041042"/>
      <w:bookmarkStart w:id="100" w:name="_Toc494273407"/>
      <w:bookmarkStart w:id="101" w:name="_Toc494273400"/>
      <w:r>
        <w:rPr>
          <w:rFonts w:hint="eastAsia"/>
        </w:rPr>
        <w:t>持久起泡性</w:t>
      </w:r>
      <w:bookmarkEnd w:id="99"/>
      <w:bookmarkEnd w:id="100"/>
    </w:p>
    <w:p w14:paraId="4E0EAEEB">
      <w:pPr>
        <w:pStyle w:val="42"/>
        <w:widowControl w:val="0"/>
        <w:numPr>
          <w:ilvl w:val="0"/>
          <w:numId w:val="0"/>
        </w:numPr>
        <w:spacing w:beforeLines="0" w:afterLines="0"/>
        <w:ind w:firstLine="420" w:firstLineChars="200"/>
        <w:jc w:val="both"/>
        <w:rPr>
          <w:rFonts w:ascii="宋体" w:hAnsi="宋体" w:eastAsia="宋体"/>
        </w:rPr>
      </w:pPr>
      <w:bookmarkStart w:id="102" w:name="_Toc188041043"/>
      <w:bookmarkStart w:id="103" w:name="_Toc494273408"/>
      <w:r>
        <w:rPr>
          <w:rFonts w:hint="eastAsia" w:ascii="宋体" w:hAnsi="宋体" w:eastAsia="宋体"/>
        </w:rPr>
        <w:t xml:space="preserve">按 </w:t>
      </w:r>
      <w:r>
        <w:rPr>
          <w:rFonts w:ascii="宋体" w:hAnsi="宋体" w:eastAsia="宋体"/>
        </w:rPr>
        <w:t xml:space="preserve">GB/T </w:t>
      </w:r>
      <w:r>
        <w:rPr>
          <w:rFonts w:hint="eastAsia" w:ascii="宋体" w:hAnsi="宋体" w:eastAsia="宋体"/>
        </w:rPr>
        <w:t>28137进行。</w:t>
      </w:r>
      <w:bookmarkEnd w:id="102"/>
      <w:bookmarkEnd w:id="103"/>
    </w:p>
    <w:bookmarkEnd w:id="98"/>
    <w:bookmarkEnd w:id="101"/>
    <w:p w14:paraId="5D2169F2">
      <w:pPr>
        <w:pStyle w:val="42"/>
      </w:pPr>
      <w:bookmarkStart w:id="104" w:name="_Toc188041038"/>
      <w:bookmarkStart w:id="105" w:name="_Toc494273402"/>
      <w:r>
        <w:rPr>
          <w:rFonts w:hint="eastAsia"/>
        </w:rPr>
        <w:t>分散稳定性</w:t>
      </w:r>
      <w:bookmarkEnd w:id="104"/>
      <w:bookmarkEnd w:id="105"/>
    </w:p>
    <w:p w14:paraId="14D6028A">
      <w:pPr>
        <w:pStyle w:val="41"/>
        <w:numPr>
          <w:ilvl w:val="2"/>
          <w:numId w:val="2"/>
        </w:numPr>
        <w:spacing w:before="156" w:after="156"/>
        <w:rPr>
          <w:rFonts w:hint="eastAsia"/>
        </w:rPr>
      </w:pPr>
      <w:bookmarkStart w:id="106" w:name="_Toc494273403"/>
      <w:bookmarkStart w:id="107" w:name="_Toc188041039"/>
      <w:r>
        <w:rPr>
          <w:rFonts w:hint="eastAsia"/>
        </w:rPr>
        <w:t>方法提要</w:t>
      </w:r>
    </w:p>
    <w:p w14:paraId="25E44D93">
      <w:pPr>
        <w:pStyle w:val="21"/>
        <w:rPr>
          <w:rFonts w:hint="eastAsia" w:hAnsi="宋体"/>
        </w:rPr>
      </w:pPr>
      <w:r>
        <w:rPr>
          <w:rFonts w:hint="eastAsia" w:hAnsi="宋体"/>
          <w:sz w:val="21"/>
          <w:szCs w:val="21"/>
        </w:rPr>
        <w:t>按规定浓度制备分散液，分别置于两个带刻度的乳化管中，直立静置一段时间，再颠倒乳化管数次，观察最初、放置一定时间和重新分散后该分散液的分散稳定性</w:t>
      </w:r>
      <w:r>
        <w:rPr>
          <w:rFonts w:hint="eastAsia" w:hAnsi="宋体"/>
        </w:rPr>
        <w:t>。</w:t>
      </w:r>
    </w:p>
    <w:p w14:paraId="1FA77A75">
      <w:pPr>
        <w:pStyle w:val="41"/>
        <w:numPr>
          <w:ilvl w:val="2"/>
          <w:numId w:val="2"/>
        </w:numPr>
        <w:spacing w:before="156" w:after="156"/>
      </w:pPr>
      <w:r>
        <w:rPr>
          <w:rFonts w:hint="eastAsia"/>
        </w:rPr>
        <w:t>仪器</w:t>
      </w:r>
      <w:r>
        <w:rPr>
          <w:rFonts w:hint="eastAsia"/>
          <w:lang w:val="en-US" w:eastAsia="zh-CN"/>
        </w:rPr>
        <w:t>和材料</w:t>
      </w:r>
    </w:p>
    <w:p w14:paraId="053EA5B9">
      <w:pPr>
        <w:pStyle w:val="41"/>
        <w:numPr>
          <w:ilvl w:val="3"/>
          <w:numId w:val="2"/>
        </w:numPr>
        <w:spacing w:before="156" w:after="156"/>
        <w:rPr>
          <w:rFonts w:hint="eastAsia" w:ascii="宋体" w:hAnsi="宋体" w:eastAsia="宋体" w:cs="宋体"/>
        </w:rPr>
      </w:pPr>
      <w:r>
        <w:rPr>
          <w:rFonts w:hint="eastAsia" w:ascii="宋体" w:hAnsi="宋体" w:eastAsia="宋体" w:cs="宋体"/>
        </w:rPr>
        <w:t>乳化管：</w:t>
      </w:r>
      <w:bookmarkStart w:id="108" w:name="_Hlk184028259"/>
      <w:r>
        <w:rPr>
          <w:rFonts w:hint="eastAsia" w:ascii="宋体" w:hAnsi="宋体" w:eastAsia="宋体" w:cs="宋体"/>
        </w:rPr>
        <w:t>锥形底硼硅酸盐玻璃离心管，刻度至100 mL，刻度长约15 cm。0</w:t>
      </w:r>
      <w:r>
        <w:rPr>
          <w:rFonts w:ascii="Times New Roman" w:hAnsi="Times New Roman"/>
        </w:rPr>
        <w:t>~</w:t>
      </w:r>
      <w:r>
        <w:rPr>
          <w:rFonts w:hint="eastAsia" w:ascii="宋体" w:hAnsi="宋体" w:eastAsia="宋体" w:cs="宋体"/>
        </w:rPr>
        <w:t>0.5mL，分度值0.05 mL；0.5 mL</w:t>
      </w:r>
      <w:r>
        <w:rPr>
          <w:rFonts w:ascii="Times New Roman" w:hAnsi="Times New Roman"/>
        </w:rPr>
        <w:t>~</w:t>
      </w:r>
      <w:r>
        <w:rPr>
          <w:rFonts w:hint="eastAsia" w:ascii="宋体" w:hAnsi="宋体" w:eastAsia="宋体" w:cs="宋体"/>
        </w:rPr>
        <w:t>2 mL，分度值0.1 mL；2 mL</w:t>
      </w:r>
      <w:r>
        <w:rPr>
          <w:rFonts w:ascii="Times New Roman" w:hAnsi="Times New Roman"/>
        </w:rPr>
        <w:t>~</w:t>
      </w:r>
      <w:r>
        <w:rPr>
          <w:rFonts w:hint="eastAsia" w:ascii="宋体" w:hAnsi="宋体" w:eastAsia="宋体" w:cs="宋体"/>
        </w:rPr>
        <w:t>3 mL，分度值0.2 mL；3 mL</w:t>
      </w:r>
      <w:r>
        <w:rPr>
          <w:rFonts w:ascii="Times New Roman" w:hAnsi="Times New Roman"/>
        </w:rPr>
        <w:t>~</w:t>
      </w:r>
      <w:r>
        <w:rPr>
          <w:rFonts w:hint="eastAsia" w:ascii="宋体" w:hAnsi="宋体" w:eastAsia="宋体" w:cs="宋体"/>
        </w:rPr>
        <w:t>5 mL，分度值0.5 mL；5 mL</w:t>
      </w:r>
      <w:r>
        <w:rPr>
          <w:rFonts w:ascii="Times New Roman" w:hAnsi="Times New Roman"/>
        </w:rPr>
        <w:t>~</w:t>
      </w:r>
      <w:r>
        <w:rPr>
          <w:rFonts w:hint="eastAsia" w:ascii="宋体" w:hAnsi="宋体" w:eastAsia="宋体" w:cs="宋体"/>
        </w:rPr>
        <w:t>10 mL，分度值1 mL</w:t>
      </w:r>
      <w:bookmarkEnd w:id="108"/>
      <w:r>
        <w:rPr>
          <w:rFonts w:hint="eastAsia" w:ascii="宋体" w:hAnsi="宋体" w:eastAsia="宋体" w:cs="宋体"/>
        </w:rPr>
        <w:t>。</w:t>
      </w:r>
    </w:p>
    <w:p w14:paraId="553EE16D">
      <w:pPr>
        <w:pStyle w:val="41"/>
        <w:numPr>
          <w:ilvl w:val="3"/>
          <w:numId w:val="2"/>
        </w:numPr>
        <w:spacing w:before="156" w:after="156"/>
        <w:rPr>
          <w:rFonts w:hint="eastAsia" w:ascii="宋体" w:hAnsi="宋体" w:eastAsia="宋体"/>
        </w:rPr>
      </w:pPr>
      <w:r>
        <w:rPr>
          <w:rFonts w:hint="eastAsia" w:ascii="宋体" w:hAnsi="宋体" w:eastAsia="宋体"/>
        </w:rPr>
        <w:t>橡胶塞：与乳化管配套使用（以盖住乳化管口不掉为宜，参考尺寸见图</w:t>
      </w:r>
      <w:r>
        <w:rPr>
          <w:rFonts w:hint="eastAsia" w:ascii="宋体" w:hAnsi="宋体" w:eastAsia="宋体"/>
          <w:lang w:val="en-US" w:eastAsia="zh-CN"/>
        </w:rPr>
        <w:t>2</w:t>
      </w:r>
      <w:r>
        <w:rPr>
          <w:rFonts w:hint="eastAsia" w:ascii="宋体" w:hAnsi="宋体" w:eastAsia="宋体"/>
        </w:rPr>
        <w:t>），带有80 mm长玻璃排气管（外径4.4 mm</w:t>
      </w:r>
      <w:r>
        <w:rPr>
          <w:rFonts w:ascii="Times New Roman" w:hAnsi="Times New Roman"/>
        </w:rPr>
        <w:t>~</w:t>
      </w:r>
      <w:r>
        <w:rPr>
          <w:rFonts w:hint="eastAsia" w:ascii="宋体" w:hAnsi="宋体" w:eastAsia="宋体"/>
        </w:rPr>
        <w:t>4.8 mm，内径2.5 mm</w:t>
      </w:r>
      <w:r>
        <w:rPr>
          <w:rFonts w:ascii="Times New Roman" w:hAnsi="Times New Roman"/>
        </w:rPr>
        <w:t>~</w:t>
      </w:r>
      <w:r>
        <w:rPr>
          <w:rFonts w:hint="eastAsia" w:ascii="宋体" w:hAnsi="宋体" w:eastAsia="宋体"/>
        </w:rPr>
        <w:t>3.0 mm）</w:t>
      </w:r>
      <w:r>
        <w:rPr>
          <w:rFonts w:hint="eastAsia" w:ascii="宋体" w:hAnsi="宋体" w:eastAsia="宋体"/>
          <w:lang w:eastAsia="zh-CN"/>
        </w:rPr>
        <w:t>。</w:t>
      </w:r>
    </w:p>
    <w:p w14:paraId="04A5680D">
      <w:pPr>
        <w:pStyle w:val="41"/>
        <w:numPr>
          <w:ilvl w:val="3"/>
          <w:numId w:val="2"/>
        </w:numPr>
        <w:spacing w:before="156" w:after="156"/>
        <w:rPr>
          <w:rFonts w:hint="eastAsia" w:ascii="宋体" w:hAnsi="宋体" w:eastAsia="宋体"/>
        </w:rPr>
      </w:pPr>
      <w:r>
        <w:rPr>
          <w:rFonts w:hint="eastAsia" w:ascii="宋体" w:hAnsi="宋体" w:eastAsia="宋体"/>
        </w:rPr>
        <w:t>刻度量筒：250 mL。</w:t>
      </w:r>
    </w:p>
    <w:p w14:paraId="2F23C151">
      <w:pPr>
        <w:pStyle w:val="41"/>
        <w:numPr>
          <w:ilvl w:val="3"/>
          <w:numId w:val="2"/>
        </w:numPr>
        <w:spacing w:before="156" w:after="156"/>
        <w:rPr>
          <w:rFonts w:hint="eastAsia" w:ascii="宋体" w:hAnsi="宋体" w:eastAsia="宋体"/>
        </w:rPr>
      </w:pPr>
      <w:r>
        <w:rPr>
          <w:rFonts w:hint="eastAsia" w:ascii="宋体" w:hAnsi="宋体" w:eastAsia="宋体"/>
        </w:rPr>
        <w:t>可调节灯：配60</w:t>
      </w:r>
      <w:r>
        <w:rPr>
          <w:rFonts w:ascii="宋体" w:hAnsi="宋体" w:eastAsia="宋体"/>
        </w:rPr>
        <w:t xml:space="preserve"> </w:t>
      </w:r>
      <w:r>
        <w:rPr>
          <w:rFonts w:hint="eastAsia" w:ascii="宋体" w:hAnsi="宋体" w:eastAsia="宋体"/>
        </w:rPr>
        <w:t>W珍珠</w:t>
      </w:r>
      <w:r>
        <w:rPr>
          <w:rFonts w:hint="eastAsia" w:ascii="宋体" w:hAnsi="宋体" w:eastAsia="宋体"/>
          <w:lang w:val="en-US" w:eastAsia="zh-CN"/>
        </w:rPr>
        <w:t>灯</w:t>
      </w:r>
      <w:r>
        <w:rPr>
          <w:rFonts w:hint="eastAsia" w:ascii="宋体" w:hAnsi="宋体" w:eastAsia="宋体"/>
        </w:rPr>
        <w:t>泡（或具有同等强度光源）。</w:t>
      </w:r>
    </w:p>
    <w:p w14:paraId="4A0582AC">
      <w:pPr>
        <w:pStyle w:val="41"/>
        <w:numPr>
          <w:ilvl w:val="3"/>
          <w:numId w:val="2"/>
        </w:numPr>
        <w:spacing w:before="156" w:after="156"/>
        <w:rPr>
          <w:rFonts w:hint="eastAsia" w:ascii="宋体" w:hAnsi="宋体" w:eastAsia="宋体"/>
        </w:rPr>
      </w:pPr>
      <w:r>
        <w:rPr>
          <w:rFonts w:hint="eastAsia" w:ascii="宋体" w:hAnsi="宋体" w:eastAsia="宋体"/>
        </w:rPr>
        <w:t>移液管：10 mL</w:t>
      </w:r>
      <w:r>
        <w:rPr>
          <w:rFonts w:hint="eastAsia" w:ascii="宋体" w:hAnsi="宋体" w:eastAsia="宋体"/>
          <w:lang w:eastAsia="zh-CN"/>
        </w:rPr>
        <w:t>。</w:t>
      </w:r>
    </w:p>
    <w:p w14:paraId="1362D5B0">
      <w:pPr>
        <w:pStyle w:val="41"/>
        <w:numPr>
          <w:ilvl w:val="3"/>
          <w:numId w:val="2"/>
        </w:numPr>
        <w:spacing w:before="156" w:after="156"/>
        <w:rPr>
          <w:rFonts w:hint="eastAsia" w:ascii="宋体" w:hAnsi="宋体" w:eastAsia="宋体"/>
        </w:rPr>
      </w:pPr>
      <w:r>
        <w:rPr>
          <w:rFonts w:hint="eastAsia" w:ascii="宋体" w:hAnsi="宋体" w:eastAsia="宋体"/>
        </w:rPr>
        <w:t xml:space="preserve">标准硬水：标准硬水D（除非另有规定），按 </w:t>
      </w:r>
      <w:r>
        <w:rPr>
          <w:rFonts w:ascii="宋体" w:hAnsi="宋体" w:eastAsia="宋体"/>
        </w:rPr>
        <w:t xml:space="preserve">GB/T </w:t>
      </w:r>
      <w:r>
        <w:rPr>
          <w:rFonts w:hint="eastAsia" w:ascii="宋体" w:hAnsi="宋体" w:eastAsia="宋体"/>
          <w:lang w:val="en-US" w:eastAsia="zh-CN"/>
        </w:rPr>
        <w:t>43167</w:t>
      </w:r>
      <w:r>
        <w:rPr>
          <w:rFonts w:hint="eastAsia" w:ascii="宋体" w:hAnsi="宋体" w:eastAsia="宋体"/>
        </w:rPr>
        <w:t>配制。</w:t>
      </w:r>
    </w:p>
    <w:p w14:paraId="4682DEDB">
      <w:pPr>
        <w:jc w:val="center"/>
        <w:rPr>
          <w:rFonts w:hint="eastAsia"/>
        </w:rPr>
      </w:pPr>
      <w:bookmarkStart w:id="109" w:name="_Hlk182843271"/>
      <w:r>
        <w:drawing>
          <wp:inline distT="0" distB="0" distL="114300" distR="114300">
            <wp:extent cx="3686175" cy="2828925"/>
            <wp:effectExtent l="0" t="0" r="9525" b="3175"/>
            <wp:docPr id="165705214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052148" name="图片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3686175" cy="2828925"/>
                    </a:xfrm>
                    <a:prstGeom prst="rect">
                      <a:avLst/>
                    </a:prstGeom>
                    <a:solidFill>
                      <a:srgbClr val="FFFFFF"/>
                    </a:solidFill>
                    <a:ln>
                      <a:noFill/>
                    </a:ln>
                    <a:effectLst/>
                  </pic:spPr>
                </pic:pic>
              </a:graphicData>
            </a:graphic>
          </wp:inline>
        </w:drawing>
      </w:r>
      <w:bookmarkEnd w:id="109"/>
    </w:p>
    <w:p w14:paraId="0666702C">
      <w:pPr>
        <w:pStyle w:val="108"/>
        <w:tabs>
          <w:tab w:val="left" w:pos="360"/>
        </w:tabs>
        <w:rPr>
          <w:rFonts w:hint="eastAsia" w:ascii="黑体" w:hAnsi="黑体" w:eastAsia="黑体" w:cs="黑体"/>
          <w:sz w:val="21"/>
          <w:szCs w:val="21"/>
        </w:rPr>
      </w:pPr>
      <w:r>
        <w:rPr>
          <w:rFonts w:hint="eastAsia" w:ascii="黑体" w:hAnsi="黑体" w:eastAsia="黑体" w:cs="黑体"/>
          <w:sz w:val="21"/>
          <w:szCs w:val="21"/>
        </w:rPr>
        <w:t>带有玻璃排气管的橡胶塞</w:t>
      </w:r>
    </w:p>
    <w:p w14:paraId="5FE612ED">
      <w:pPr>
        <w:pStyle w:val="41"/>
        <w:numPr>
          <w:ilvl w:val="2"/>
          <w:numId w:val="2"/>
        </w:numPr>
        <w:spacing w:before="156" w:after="156"/>
        <w:rPr>
          <w:rFonts w:hint="eastAsia"/>
        </w:rPr>
      </w:pPr>
      <w:r>
        <w:rPr>
          <w:rFonts w:hint="eastAsia"/>
          <w:lang w:val="en-US" w:eastAsia="zh-CN"/>
        </w:rPr>
        <w:t>试验</w:t>
      </w:r>
      <w:r>
        <w:rPr>
          <w:rFonts w:hint="eastAsia"/>
        </w:rPr>
        <w:t>步骤</w:t>
      </w:r>
    </w:p>
    <w:p w14:paraId="3D97FE85">
      <w:pPr>
        <w:pStyle w:val="62"/>
        <w:bidi w:val="0"/>
        <w:ind w:left="0" w:leftChars="0" w:firstLine="0" w:firstLineChars="0"/>
        <w:rPr>
          <w:rFonts w:hint="eastAsia"/>
        </w:rPr>
      </w:pPr>
      <w:r>
        <w:rPr>
          <w:rFonts w:hint="eastAsia"/>
        </w:rPr>
        <w:t>分散液的制备</w:t>
      </w:r>
    </w:p>
    <w:p w14:paraId="162CF77F">
      <w:pPr>
        <w:pStyle w:val="21"/>
        <w:spacing w:before="156" w:after="156"/>
        <w:rPr>
          <w:rFonts w:hint="eastAsia" w:hAnsi="宋体" w:cs="宋体"/>
          <w:sz w:val="21"/>
          <w:szCs w:val="21"/>
        </w:rPr>
      </w:pPr>
      <w:r>
        <w:rPr>
          <w:rFonts w:hint="eastAsia" w:hAnsi="宋体"/>
          <w:sz w:val="21"/>
          <w:szCs w:val="21"/>
        </w:rPr>
        <w:t>在室温下(23℃±2℃)，分别向两个250 mL刻度量筒中加标准硬水至240 mL刻度线，用移液管向每个量筒中滴加试样5 g（或其它规定质量），滴加时移液管尖端尽量贴近水面，但不要在水面之下。若是固体样品制剂，小心地将称量的样品加到水面上。最后用标准硬水定容至量筒刻度。以量筒中部为轴心，上下颠倒30次，确保量筒中液体温和地流动，不发生反冲，每次颠倒需2 s（用秒表观察所用时间）。用其中一个量筒做最初分散性和静置30 min的分散性试验，另一个量筒做</w:t>
      </w:r>
      <w:r>
        <w:rPr>
          <w:rFonts w:hint="eastAsia"/>
          <w:sz w:val="21"/>
          <w:szCs w:val="21"/>
        </w:rPr>
        <w:t>重新</w:t>
      </w:r>
      <w:r>
        <w:rPr>
          <w:sz w:val="21"/>
          <w:szCs w:val="21"/>
        </w:rPr>
        <w:t>分散</w:t>
      </w:r>
      <w:r>
        <w:rPr>
          <w:rFonts w:hint="eastAsia"/>
          <w:sz w:val="21"/>
          <w:szCs w:val="21"/>
        </w:rPr>
        <w:t>性</w:t>
      </w:r>
      <w:r>
        <w:rPr>
          <w:sz w:val="21"/>
          <w:szCs w:val="21"/>
        </w:rPr>
        <w:t>试验</w:t>
      </w:r>
      <w:r>
        <w:rPr>
          <w:rFonts w:hint="eastAsia" w:hAnsi="宋体" w:cs="宋体"/>
          <w:sz w:val="21"/>
          <w:szCs w:val="21"/>
        </w:rPr>
        <w:t>。</w:t>
      </w:r>
    </w:p>
    <w:p w14:paraId="036FD8C0">
      <w:pPr>
        <w:pStyle w:val="62"/>
        <w:bidi w:val="0"/>
        <w:ind w:left="0" w:leftChars="0" w:firstLine="0" w:firstLineChars="0"/>
        <w:rPr>
          <w:rFonts w:hint="eastAsia" w:hAnsi="Times New Roman" w:cs="Times New Roman"/>
        </w:rPr>
      </w:pPr>
      <w:r>
        <w:rPr>
          <w:rFonts w:hint="eastAsia" w:hAnsi="Times New Roman" w:cs="Times New Roman"/>
        </w:rPr>
        <w:t>最初分散性</w:t>
      </w:r>
    </w:p>
    <w:p w14:paraId="3B242E4A">
      <w:pPr>
        <w:pStyle w:val="21"/>
        <w:spacing w:before="156" w:after="156"/>
        <w:rPr>
          <w:rFonts w:hint="eastAsia" w:hAnsi="宋体" w:cs="宋体"/>
          <w:sz w:val="21"/>
          <w:szCs w:val="21"/>
        </w:rPr>
      </w:pPr>
      <w:bookmarkStart w:id="110" w:name="_Hlk152939392"/>
      <w:r>
        <w:rPr>
          <w:rFonts w:hint="eastAsia" w:hAnsi="宋体" w:cs="宋体"/>
          <w:sz w:val="21"/>
          <w:szCs w:val="21"/>
        </w:rPr>
        <w:t>分散液制备好后，立即观察第一只量筒中试样是否完全分散，若未完全分散，记录沉淀、乳膏或浮油。</w:t>
      </w:r>
    </w:p>
    <w:p w14:paraId="782D3D26">
      <w:pPr>
        <w:pStyle w:val="62"/>
        <w:bidi w:val="0"/>
        <w:ind w:left="0" w:leftChars="0" w:firstLine="0" w:firstLineChars="0"/>
        <w:rPr>
          <w:rFonts w:hint="eastAsia" w:hAnsi="Times New Roman" w:cs="Times New Roman"/>
        </w:rPr>
      </w:pPr>
      <w:bookmarkStart w:id="111" w:name="_Hlk160604980"/>
      <w:r>
        <w:rPr>
          <w:rFonts w:hint="eastAsia" w:hAnsi="Times New Roman" w:cs="Times New Roman"/>
        </w:rPr>
        <w:t>静置30 min的分散性</w:t>
      </w:r>
    </w:p>
    <w:p w14:paraId="042FBCC3">
      <w:pPr>
        <w:pStyle w:val="21"/>
        <w:ind w:firstLine="440"/>
      </w:pPr>
      <w:r>
        <w:rPr>
          <w:rFonts w:hint="eastAsia"/>
        </w:rPr>
        <w:t>立即将第一只量筒中的分散液转移，然后同时进行沉淀体积和乳膏（浮油）体积的测定。</w:t>
      </w:r>
    </w:p>
    <w:bookmarkEnd w:id="111"/>
    <w:p w14:paraId="5A6E5CB7">
      <w:pPr>
        <w:pStyle w:val="73"/>
        <w:bidi w:val="0"/>
        <w:ind w:left="0" w:leftChars="0" w:firstLine="0" w:firstLineChars="0"/>
        <w:rPr>
          <w:rFonts w:hint="eastAsia"/>
        </w:rPr>
      </w:pPr>
      <w:r>
        <w:rPr>
          <w:rFonts w:hint="eastAsia"/>
        </w:rPr>
        <w:t>沉淀体积的测定</w:t>
      </w:r>
    </w:p>
    <w:p w14:paraId="0523ECE9">
      <w:pPr>
        <w:pStyle w:val="21"/>
        <w:spacing w:before="156" w:after="156"/>
        <w:rPr>
          <w:rFonts w:hint="eastAsia" w:hAnsi="宋体" w:cs="宋体"/>
          <w:sz w:val="21"/>
          <w:szCs w:val="21"/>
        </w:rPr>
      </w:pPr>
      <w:r>
        <w:rPr>
          <w:rFonts w:hint="eastAsia" w:hAnsi="宋体"/>
          <w:sz w:val="21"/>
          <w:szCs w:val="21"/>
        </w:rPr>
        <w:t>将第一只量筒中100 mL分散液转移至乳化管中，盖上橡胶塞，在室温下(23℃±2℃)直立30 min，用灯照亮乳化管，调整光线角度和位置，达到对两相界面的最佳观察。如果有沉淀（通常反射光比透射光更易观察到沉淀），记录沉淀体积（精确至0.05 mL）</w:t>
      </w:r>
      <w:r>
        <w:rPr>
          <w:rFonts w:hint="eastAsia" w:hAnsi="宋体" w:cs="宋体"/>
          <w:sz w:val="21"/>
          <w:szCs w:val="21"/>
        </w:rPr>
        <w:t>。</w:t>
      </w:r>
    </w:p>
    <w:p w14:paraId="32E069C5">
      <w:pPr>
        <w:pStyle w:val="73"/>
        <w:bidi w:val="0"/>
        <w:ind w:left="0" w:leftChars="0" w:firstLine="0" w:firstLineChars="0"/>
        <w:rPr>
          <w:rFonts w:hint="eastAsia" w:hAnsi="Times New Roman" w:cs="Times New Roman"/>
        </w:rPr>
      </w:pPr>
      <w:r>
        <w:rPr>
          <w:rFonts w:hint="eastAsia" w:hAnsi="Times New Roman" w:cs="Times New Roman"/>
        </w:rPr>
        <w:t>乳膏（浮油）体积的测定</w:t>
      </w:r>
    </w:p>
    <w:p w14:paraId="31352109">
      <w:pPr>
        <w:pStyle w:val="68"/>
        <w:numPr>
          <w:ilvl w:val="0"/>
          <w:numId w:val="0"/>
        </w:numPr>
        <w:tabs>
          <w:tab w:val="clear" w:pos="1260"/>
        </w:tabs>
        <w:spacing w:before="156" w:after="156"/>
        <w:ind w:firstLine="420" w:firstLineChars="200"/>
        <w:rPr>
          <w:rFonts w:hint="eastAsia" w:hAnsi="宋体"/>
        </w:rPr>
      </w:pPr>
      <w:r>
        <w:rPr>
          <w:rFonts w:hint="eastAsia" w:hAnsi="宋体"/>
        </w:rPr>
        <w:t>将第一只量筒中分散液倒入乳化管中至离管顶端1 mm，戴好保护手套，塞上带有排气管的橡胶塞，排除乳化管中所有空气，去除溢出的分散液，将乳化管倒置，在室温下保持30 min，没有液体从乳化管排出就不必密封玻璃管的开口端，记录形成的乳膏或浮油的体积</w:t>
      </w:r>
      <w:bookmarkStart w:id="112" w:name="_Hlk184028354"/>
      <w:r>
        <w:rPr>
          <w:rFonts w:hint="eastAsia" w:hAnsi="宋体"/>
        </w:rPr>
        <w:t>（精确至0.05 mL）</w:t>
      </w:r>
      <w:bookmarkEnd w:id="112"/>
      <w:r>
        <w:rPr>
          <w:rFonts w:hint="eastAsia" w:hAnsi="宋体"/>
        </w:rPr>
        <w:t>。测定乳化管总体积，计算乳膏或浮油体积的校正因子，按公式(</w:t>
      </w:r>
      <w:r>
        <w:rPr>
          <w:rFonts w:hint="eastAsia" w:hAnsi="宋体"/>
          <w:lang w:val="en-US" w:eastAsia="zh-CN"/>
        </w:rPr>
        <w:t>3</w:t>
      </w:r>
      <w:r>
        <w:rPr>
          <w:rFonts w:hint="eastAsia" w:hAnsi="宋体"/>
        </w:rPr>
        <w:t>)计算，校正后乳膏或浮油的体积按公式(</w:t>
      </w:r>
      <w:r>
        <w:rPr>
          <w:rFonts w:hint="eastAsia" w:hAnsi="宋体"/>
          <w:lang w:val="en-US" w:eastAsia="zh-CN"/>
        </w:rPr>
        <w:t>4</w:t>
      </w:r>
      <w:r>
        <w:rPr>
          <w:rFonts w:hint="eastAsia" w:hAnsi="宋体"/>
        </w:rPr>
        <w:t>)计算：</w:t>
      </w:r>
    </w:p>
    <w:p w14:paraId="1CD53723">
      <w:pPr>
        <w:pStyle w:val="67"/>
        <w:snapToGrid w:val="0"/>
      </w:pPr>
      <w:r>
        <w:tab/>
      </w:r>
      <w:r>
        <w:rPr>
          <w:position w:val="-30"/>
        </w:rPr>
        <w:object>
          <v:shape id="_x0000_i1031" o:spt="75" type="#_x0000_t75" style="height:33.75pt;width:44.25pt;" o:ole="t" filled="f" o:preferrelative="t" stroked="f" coordsize="21600,21600">
            <v:path/>
            <v:fill on="f" focussize="0,0"/>
            <v:stroke on="f" joinstyle="miter"/>
            <v:imagedata r:id="rId15" o:title=""/>
            <o:lock v:ext="edit" aspectratio="t"/>
            <w10:wrap type="none"/>
            <w10:anchorlock/>
          </v:shape>
          <o:OLEObject Type="Embed" ProgID="Equation.3" ShapeID="_x0000_i1031" DrawAspect="Content" ObjectID="_1468075727" r:id="rId14">
            <o:LockedField>false</o:LockedField>
          </o:OLEObject>
        </w:object>
      </w:r>
      <w:r>
        <w:tab/>
      </w:r>
      <w:r>
        <w:t>(</w:t>
      </w:r>
      <w:r>
        <w:rPr>
          <w:rFonts w:hint="eastAsia"/>
          <w:lang w:val="en-US" w:eastAsia="zh-CN"/>
        </w:rPr>
        <w:t>3</w:t>
      </w:r>
      <w:r>
        <w:t>)</w:t>
      </w:r>
    </w:p>
    <w:p w14:paraId="40730975">
      <w:pPr>
        <w:pStyle w:val="67"/>
      </w:pPr>
      <w:r>
        <w:tab/>
      </w:r>
      <w:r>
        <w:rPr>
          <w:position w:val="-10"/>
        </w:rPr>
        <w:object>
          <v:shape id="_x0000_i1032" o:spt="75" type="#_x0000_t75" style="height:17.25pt;width:54.35pt;" o:ole="t" filled="f" o:preferrelative="t" stroked="f" coordsize="21600,21600">
            <v:path/>
            <v:fill on="f" focussize="0,0"/>
            <v:stroke on="f" joinstyle="miter"/>
            <v:imagedata r:id="rId17" o:title=""/>
            <o:lock v:ext="edit" aspectratio="t"/>
            <w10:wrap type="none"/>
            <w10:anchorlock/>
          </v:shape>
          <o:OLEObject Type="Embed" ProgID="Equation.3" ShapeID="_x0000_i1032" DrawAspect="Content" ObjectID="_1468075728" r:id="rId16">
            <o:LockedField>false</o:LockedField>
          </o:OLEObject>
        </w:object>
      </w:r>
      <w:r>
        <w:tab/>
      </w:r>
      <w:r>
        <w:t>(</w:t>
      </w:r>
      <w:r>
        <w:rPr>
          <w:rFonts w:hint="eastAsia" w:hAnsi="宋体"/>
          <w:lang w:val="en-US" w:eastAsia="zh-CN"/>
        </w:rPr>
        <w:t>4</w:t>
      </w:r>
      <w:r>
        <w:t>)</w:t>
      </w:r>
    </w:p>
    <w:p w14:paraId="0C8AC922">
      <w:pPr>
        <w:pStyle w:val="68"/>
        <w:numPr>
          <w:ilvl w:val="0"/>
          <w:numId w:val="0"/>
        </w:numPr>
        <w:tabs>
          <w:tab w:val="clear" w:pos="1260"/>
        </w:tabs>
        <w:ind w:firstLine="420" w:firstLineChars="200"/>
        <w:rPr>
          <w:rFonts w:hint="eastAsia" w:hAnsi="宋体"/>
        </w:rPr>
      </w:pPr>
      <w:r>
        <w:rPr>
          <w:rFonts w:hint="eastAsia" w:hAnsi="宋体"/>
        </w:rPr>
        <w:t>式中：</w:t>
      </w:r>
    </w:p>
    <w:p w14:paraId="3B236E22">
      <w:pPr>
        <w:pStyle w:val="68"/>
        <w:numPr>
          <w:ilvl w:val="0"/>
          <w:numId w:val="0"/>
        </w:numPr>
        <w:tabs>
          <w:tab w:val="clear" w:pos="1260"/>
        </w:tabs>
        <w:ind w:firstLine="420" w:firstLineChars="200"/>
        <w:rPr>
          <w:rFonts w:hint="eastAsia" w:hAnsi="宋体" w:cs="宋体"/>
          <w:iCs/>
        </w:rPr>
      </w:pPr>
      <w:r>
        <w:rPr>
          <w:rFonts w:hint="eastAsia" w:hAnsi="宋体" w:cs="宋体"/>
          <w:i/>
          <w:iCs/>
        </w:rPr>
        <w:t xml:space="preserve">F </w:t>
      </w:r>
      <w:r>
        <w:rPr>
          <w:rFonts w:hint="eastAsia" w:hAnsi="宋体" w:cs="宋体"/>
          <w:spacing w:val="-60"/>
        </w:rPr>
        <w:t>—</w:t>
      </w:r>
      <w:r>
        <w:rPr>
          <w:rFonts w:hint="eastAsia" w:hAnsi="宋体" w:cs="宋体"/>
        </w:rPr>
        <w:t>—</w:t>
      </w:r>
      <w:r>
        <w:rPr>
          <w:rFonts w:hint="eastAsia" w:hAnsi="宋体" w:cs="宋体"/>
          <w:iCs/>
        </w:rPr>
        <w:t>测量的乳膏或浮油体积的校正因子；</w:t>
      </w:r>
    </w:p>
    <w:p w14:paraId="5DD84339">
      <w:pPr>
        <w:pStyle w:val="68"/>
        <w:numPr>
          <w:ilvl w:val="0"/>
          <w:numId w:val="0"/>
        </w:numPr>
        <w:tabs>
          <w:tab w:val="clear" w:pos="1260"/>
        </w:tabs>
        <w:ind w:firstLine="420" w:firstLineChars="200"/>
        <w:rPr>
          <w:rFonts w:hint="eastAsia" w:hAnsi="宋体" w:cs="宋体"/>
          <w:iCs/>
        </w:rPr>
      </w:pPr>
      <w:r>
        <w:rPr>
          <w:rFonts w:hint="eastAsia" w:hAnsi="宋体" w:cs="宋体"/>
          <w:i/>
          <w:iCs/>
        </w:rPr>
        <w:t>V</w:t>
      </w:r>
      <w:r>
        <w:rPr>
          <w:rFonts w:hint="eastAsia" w:hAnsi="宋体" w:cs="宋体"/>
          <w:vertAlign w:val="subscript"/>
        </w:rPr>
        <w:t>0</w:t>
      </w:r>
      <w:r>
        <w:rPr>
          <w:rFonts w:hint="eastAsia" w:hAnsi="宋体" w:cs="宋体"/>
          <w:spacing w:val="-60"/>
        </w:rPr>
        <w:t>—</w:t>
      </w:r>
      <w:r>
        <w:rPr>
          <w:rFonts w:hint="eastAsia" w:hAnsi="宋体" w:cs="宋体"/>
        </w:rPr>
        <w:t>—</w:t>
      </w:r>
      <w:r>
        <w:rPr>
          <w:rFonts w:hint="eastAsia" w:hAnsi="宋体" w:cs="宋体"/>
          <w:iCs/>
        </w:rPr>
        <w:t>乳化管</w:t>
      </w:r>
      <w:r>
        <w:rPr>
          <w:rFonts w:hint="eastAsia" w:hAnsi="宋体" w:cs="宋体"/>
        </w:rPr>
        <w:t>总体</w:t>
      </w:r>
      <w:r>
        <w:rPr>
          <w:rFonts w:hint="eastAsia" w:hAnsi="宋体" w:cs="宋体"/>
          <w:iCs/>
        </w:rPr>
        <w:t>积</w:t>
      </w:r>
      <w:r>
        <w:rPr>
          <w:rFonts w:hint="eastAsia" w:hAnsi="宋体" w:cs="宋体"/>
        </w:rPr>
        <w:t>，单位为毫升（mL）</w:t>
      </w:r>
      <w:r>
        <w:rPr>
          <w:rFonts w:hint="eastAsia" w:hAnsi="宋体" w:cs="宋体"/>
          <w:iCs/>
        </w:rPr>
        <w:t>；</w:t>
      </w:r>
    </w:p>
    <w:p w14:paraId="02B72A27">
      <w:pPr>
        <w:pStyle w:val="68"/>
        <w:numPr>
          <w:ilvl w:val="0"/>
          <w:numId w:val="0"/>
        </w:numPr>
        <w:tabs>
          <w:tab w:val="clear" w:pos="1260"/>
        </w:tabs>
        <w:ind w:firstLine="420" w:firstLineChars="200"/>
        <w:rPr>
          <w:rFonts w:hint="eastAsia" w:hAnsi="宋体" w:cs="宋体"/>
        </w:rPr>
      </w:pPr>
      <w:r>
        <w:rPr>
          <w:rFonts w:hint="eastAsia" w:hAnsi="宋体" w:cs="宋体"/>
          <w:i/>
          <w:iCs/>
        </w:rPr>
        <w:t>V</w:t>
      </w:r>
      <w:r>
        <w:rPr>
          <w:rFonts w:hint="eastAsia" w:hAnsi="宋体" w:cs="宋体"/>
          <w:szCs w:val="21"/>
          <w:vertAlign w:val="subscript"/>
        </w:rPr>
        <w:t>1’</w:t>
      </w:r>
      <w:r>
        <w:rPr>
          <w:rFonts w:hint="eastAsia" w:hAnsi="宋体" w:cs="宋体"/>
          <w:spacing w:val="-60"/>
        </w:rPr>
        <w:t>—</w:t>
      </w:r>
      <w:r>
        <w:rPr>
          <w:rFonts w:hint="eastAsia" w:hAnsi="宋体" w:cs="宋体"/>
        </w:rPr>
        <w:t>—校正后乳膏或浮油的体积，单位为毫升（mL）；</w:t>
      </w:r>
    </w:p>
    <w:p w14:paraId="51F0BE73">
      <w:pPr>
        <w:pStyle w:val="68"/>
        <w:numPr>
          <w:ilvl w:val="0"/>
          <w:numId w:val="0"/>
        </w:numPr>
        <w:tabs>
          <w:tab w:val="clear" w:pos="1260"/>
        </w:tabs>
        <w:ind w:firstLine="420" w:firstLineChars="200"/>
        <w:rPr>
          <w:rFonts w:hint="eastAsia" w:hAnsi="宋体" w:cs="宋体"/>
        </w:rPr>
      </w:pPr>
      <w:r>
        <w:rPr>
          <w:rFonts w:hint="eastAsia" w:hAnsi="宋体" w:cs="宋体"/>
          <w:i/>
          <w:iCs/>
        </w:rPr>
        <w:t>V</w:t>
      </w:r>
      <w:r>
        <w:rPr>
          <w:rFonts w:hint="eastAsia" w:hAnsi="宋体" w:cs="宋体"/>
          <w:vertAlign w:val="subscript"/>
        </w:rPr>
        <w:t>1</w:t>
      </w:r>
      <w:r>
        <w:rPr>
          <w:rFonts w:hint="eastAsia" w:hAnsi="宋体" w:cs="宋体"/>
          <w:spacing w:val="-60"/>
        </w:rPr>
        <w:t>—</w:t>
      </w:r>
      <w:r>
        <w:rPr>
          <w:rFonts w:hint="eastAsia" w:hAnsi="宋体" w:cs="宋体"/>
        </w:rPr>
        <w:t>—测量的乳膏或浮油的体积，单位为毫升（mL）。</w:t>
      </w:r>
    </w:p>
    <w:p w14:paraId="26FC3D02">
      <w:pPr>
        <w:pStyle w:val="62"/>
        <w:bidi w:val="0"/>
        <w:ind w:left="0" w:leftChars="0" w:firstLine="0" w:firstLineChars="0"/>
        <w:rPr>
          <w:rFonts w:hint="eastAsia" w:hAnsi="Times New Roman" w:cs="Times New Roman"/>
        </w:rPr>
      </w:pPr>
      <w:r>
        <w:rPr>
          <w:rFonts w:hint="eastAsia" w:hAnsi="Times New Roman" w:cs="Times New Roman"/>
        </w:rPr>
        <w:t>重新分散性</w:t>
      </w:r>
    </w:p>
    <w:p w14:paraId="09263E51">
      <w:pPr>
        <w:pStyle w:val="21"/>
        <w:spacing w:before="156" w:after="156"/>
        <w:rPr>
          <w:rFonts w:hint="eastAsia" w:hAnsi="宋体" w:cs="宋体"/>
          <w:sz w:val="21"/>
          <w:szCs w:val="21"/>
        </w:rPr>
      </w:pPr>
      <w:bookmarkStart w:id="113" w:name="_Hlk190086666"/>
      <w:r>
        <w:rPr>
          <w:rFonts w:hint="eastAsia" w:hAnsi="宋体"/>
          <w:sz w:val="21"/>
          <w:szCs w:val="21"/>
        </w:rPr>
        <w:t>分散液制备好后，将第二只量筒在室温下静置24 h后，</w:t>
      </w:r>
      <w:bookmarkStart w:id="114" w:name="_Hlk184028381"/>
      <w:r>
        <w:rPr>
          <w:rFonts w:hint="eastAsia" w:hAnsi="宋体"/>
          <w:sz w:val="21"/>
          <w:szCs w:val="21"/>
        </w:rPr>
        <w:t>按</w:t>
      </w:r>
      <w:r>
        <w:rPr>
          <w:rFonts w:hint="eastAsia" w:hAnsi="宋体"/>
          <w:sz w:val="21"/>
          <w:szCs w:val="21"/>
          <w:lang w:val="en-US" w:eastAsia="zh-CN"/>
        </w:rPr>
        <w:t>5.10</w:t>
      </w:r>
      <w:r>
        <w:rPr>
          <w:rFonts w:hint="eastAsia" w:hAnsi="宋体"/>
          <w:sz w:val="21"/>
          <w:szCs w:val="21"/>
        </w:rPr>
        <w:t>.</w:t>
      </w:r>
      <w:r>
        <w:rPr>
          <w:rFonts w:hint="eastAsia" w:hAnsi="宋体"/>
          <w:sz w:val="21"/>
          <w:szCs w:val="21"/>
          <w:lang w:val="en-US" w:eastAsia="zh-CN"/>
        </w:rPr>
        <w:t>3.1</w:t>
      </w:r>
      <w:r>
        <w:rPr>
          <w:rFonts w:hint="eastAsia" w:hAnsi="宋体"/>
          <w:sz w:val="21"/>
          <w:szCs w:val="21"/>
        </w:rPr>
        <w:t>方法颠倒量筒30次，立即观察量筒中试样是否完全分散，若未完全分散，记录沉淀、乳膏（浮油）。</w:t>
      </w:r>
      <w:bookmarkEnd w:id="113"/>
      <w:r>
        <w:rPr>
          <w:rFonts w:hint="eastAsia" w:hAnsi="宋体"/>
          <w:sz w:val="21"/>
          <w:szCs w:val="21"/>
        </w:rPr>
        <w:t>同时将此分散液转移到另外的乳化管中</w:t>
      </w:r>
      <w:bookmarkEnd w:id="114"/>
      <w:r>
        <w:rPr>
          <w:rFonts w:hint="eastAsia" w:hAnsi="宋体"/>
          <w:sz w:val="21"/>
          <w:szCs w:val="21"/>
        </w:rPr>
        <w:t>，按</w:t>
      </w:r>
      <w:r>
        <w:rPr>
          <w:rFonts w:hint="eastAsia" w:hAnsi="宋体"/>
          <w:sz w:val="21"/>
          <w:szCs w:val="21"/>
          <w:lang w:val="en-US" w:eastAsia="zh-CN"/>
        </w:rPr>
        <w:t>5.10.3.3</w:t>
      </w:r>
      <w:r>
        <w:rPr>
          <w:rFonts w:hint="eastAsia" w:hAnsi="宋体"/>
          <w:sz w:val="21"/>
          <w:szCs w:val="21"/>
        </w:rPr>
        <w:t>静置30 min后，测定沉淀、乳膏（浮油）的体积。</w:t>
      </w:r>
    </w:p>
    <w:bookmarkEnd w:id="106"/>
    <w:bookmarkEnd w:id="107"/>
    <w:bookmarkEnd w:id="110"/>
    <w:p w14:paraId="038C1BF2">
      <w:pPr>
        <w:pStyle w:val="42"/>
        <w:rPr>
          <w:rFonts w:hint="eastAsia"/>
        </w:rPr>
      </w:pPr>
      <w:bookmarkStart w:id="115" w:name="_Toc494273405"/>
      <w:bookmarkStart w:id="116" w:name="_Toc188041041"/>
      <w:r>
        <w:rPr>
          <w:rFonts w:hint="eastAsia"/>
        </w:rPr>
        <w:t>倾倒性</w:t>
      </w:r>
      <w:bookmarkEnd w:id="115"/>
    </w:p>
    <w:p w14:paraId="4CA815A4">
      <w:pPr>
        <w:pStyle w:val="21"/>
      </w:pPr>
      <w:r>
        <w:rPr>
          <w:rFonts w:hint="eastAsia"/>
        </w:rPr>
        <w:t>按 GB/T 3</w:t>
      </w:r>
      <w:r>
        <w:t>1737</w:t>
      </w:r>
      <w:r>
        <w:rPr>
          <w:rFonts w:hint="eastAsia"/>
        </w:rPr>
        <w:t>进行。</w:t>
      </w:r>
    </w:p>
    <w:p w14:paraId="7434EA5C">
      <w:pPr>
        <w:pStyle w:val="42"/>
        <w:rPr>
          <w:rFonts w:hint="eastAsia"/>
        </w:rPr>
      </w:pPr>
      <w:r>
        <w:rPr>
          <w:rFonts w:hint="eastAsia"/>
        </w:rPr>
        <w:t>低温稳定性</w:t>
      </w:r>
    </w:p>
    <w:p w14:paraId="190ED583">
      <w:pPr>
        <w:pStyle w:val="21"/>
        <w:rPr>
          <w:rFonts w:hint="eastAsia"/>
        </w:rPr>
      </w:pPr>
      <w:r>
        <w:rPr>
          <w:rFonts w:hint="eastAsia"/>
        </w:rPr>
        <w:t>按 GB</w:t>
      </w:r>
      <w:r>
        <w:t>/T 19137</w:t>
      </w:r>
      <w:r>
        <w:rPr>
          <w:rFonts w:hint="eastAsia" w:ascii="宋体"/>
          <w:kern w:val="0"/>
          <w:szCs w:val="20"/>
        </w:rPr>
        <w:t>—</w:t>
      </w:r>
      <w:r>
        <w:rPr>
          <w:rFonts w:hint="eastAsia"/>
        </w:rPr>
        <w:t>2003中2.1</w:t>
      </w:r>
      <w:r>
        <w:rPr>
          <w:rFonts w:hint="eastAsia" w:hAnsi="宋体"/>
        </w:rPr>
        <w:t>进行</w:t>
      </w:r>
      <w:r>
        <w:rPr>
          <w:rFonts w:hint="eastAsia"/>
        </w:rPr>
        <w:t>。</w:t>
      </w:r>
    </w:p>
    <w:bookmarkEnd w:id="116"/>
    <w:p w14:paraId="07CD06D9">
      <w:pPr>
        <w:pStyle w:val="42"/>
        <w:rPr>
          <w:rFonts w:ascii="Times New Roman"/>
        </w:rPr>
      </w:pPr>
      <w:bookmarkStart w:id="117" w:name="_Toc188041044"/>
      <w:bookmarkStart w:id="118" w:name="_Toc494273409"/>
      <w:r>
        <w:rPr>
          <w:rFonts w:hint="eastAsia"/>
        </w:rPr>
        <w:t>热储稳定性</w:t>
      </w:r>
      <w:bookmarkEnd w:id="117"/>
      <w:bookmarkEnd w:id="118"/>
    </w:p>
    <w:p w14:paraId="097CFE60">
      <w:pPr>
        <w:pStyle w:val="21"/>
        <w:ind w:firstLineChars="0"/>
        <w:rPr>
          <w:rFonts w:hint="eastAsia" w:ascii="Times New Roman"/>
        </w:rPr>
      </w:pPr>
      <w:r>
        <w:rPr>
          <w:rFonts w:hint="eastAsia"/>
        </w:rPr>
        <w:t>按 GB/T 19136</w:t>
      </w:r>
      <w:r>
        <w:rPr>
          <w:rFonts w:hint="eastAsia" w:ascii="宋体"/>
          <w:kern w:val="0"/>
          <w:szCs w:val="20"/>
        </w:rPr>
        <w:t>—</w:t>
      </w:r>
      <w:r>
        <w:rPr>
          <w:rFonts w:hint="eastAsia"/>
        </w:rPr>
        <w:t>2021中4.4.1</w:t>
      </w:r>
      <w:r>
        <w:rPr>
          <w:rFonts w:hint="eastAsia" w:hAnsi="宋体"/>
        </w:rPr>
        <w:t>进行</w:t>
      </w:r>
      <w:r>
        <w:rPr>
          <w:rFonts w:hint="eastAsia" w:ascii="Times New Roman"/>
        </w:rPr>
        <w:t>。热储时，样品应密封储存，热储前后质量变化率应不大于1.0%。</w:t>
      </w:r>
    </w:p>
    <w:p w14:paraId="2BCCD746">
      <w:pPr>
        <w:pStyle w:val="50"/>
      </w:pPr>
      <w:bookmarkStart w:id="119" w:name="_Toc496808860"/>
      <w:bookmarkStart w:id="120" w:name="_Toc465682845"/>
      <w:bookmarkStart w:id="121" w:name="_Toc188041050"/>
      <w:bookmarkStart w:id="122" w:name="_Toc465776944"/>
      <w:bookmarkStart w:id="123" w:name="_Toc463860753"/>
      <w:bookmarkStart w:id="124" w:name="_Toc463858433"/>
      <w:bookmarkStart w:id="125" w:name="_Toc465930219"/>
      <w:bookmarkStart w:id="126" w:name="_Toc496876278"/>
      <w:bookmarkStart w:id="127" w:name="_Toc494273410"/>
      <w:bookmarkStart w:id="128" w:name="_Toc463852730"/>
      <w:bookmarkStart w:id="129" w:name="_Toc463852729"/>
      <w:bookmarkStart w:id="130" w:name="_Toc188070595"/>
      <w:bookmarkStart w:id="131" w:name="_Toc188041046"/>
      <w:bookmarkStart w:id="132" w:name="_Toc463858432"/>
      <w:r>
        <w:rPr>
          <w:rFonts w:hint="eastAsia"/>
        </w:rPr>
        <w:t>检验规则</w:t>
      </w:r>
    </w:p>
    <w:p w14:paraId="78062AA6">
      <w:pPr>
        <w:pStyle w:val="42"/>
        <w:ind w:left="-2" w:leftChars="-1"/>
      </w:pPr>
      <w:r>
        <w:rPr>
          <w:rFonts w:hint="eastAsia"/>
        </w:rPr>
        <w:t>出厂检验</w:t>
      </w:r>
    </w:p>
    <w:p w14:paraId="719B3EAF">
      <w:pPr>
        <w:pStyle w:val="21"/>
        <w:rPr>
          <w:rFonts w:hint="eastAsia"/>
        </w:rPr>
      </w:pPr>
      <w:r>
        <w:rPr>
          <w:rFonts w:hint="eastAsia"/>
        </w:rPr>
        <w:t>每批产品均应做出厂检验，经检验合格签发合格证后，方可出厂。出厂检验项目为第4章中外观、</w:t>
      </w:r>
      <w:r>
        <w:rPr>
          <w:rFonts w:hint="eastAsia"/>
          <w:lang w:eastAsia="zh-CN"/>
        </w:rPr>
        <w:t>唑啉草酯</w:t>
      </w:r>
      <w:r>
        <w:rPr>
          <w:rFonts w:hint="eastAsia"/>
        </w:rPr>
        <w:t>质量分数、</w:t>
      </w:r>
      <w:r>
        <w:rPr>
          <w:rFonts w:hint="eastAsia"/>
          <w:lang w:eastAsia="zh-CN"/>
        </w:rPr>
        <w:t>唑啉草酯</w:t>
      </w:r>
      <w:r>
        <w:rPr>
          <w:rFonts w:hint="eastAsia"/>
        </w:rPr>
        <w:t>质量浓度、</w:t>
      </w:r>
      <w:bookmarkStart w:id="133" w:name="_Hlk181000559"/>
      <w:r>
        <w:rPr>
          <w:rFonts w:hint="eastAsia"/>
        </w:rPr>
        <w:t>解草酯质量分数、</w:t>
      </w:r>
      <w:bookmarkEnd w:id="133"/>
      <w:r>
        <w:rPr>
          <w:rFonts w:hint="eastAsia"/>
        </w:rPr>
        <w:t>水分、</w:t>
      </w:r>
      <w:r>
        <w:t>pH</w:t>
      </w:r>
      <w:r>
        <w:rPr>
          <w:rFonts w:hint="eastAsia"/>
          <w:lang w:val="en-US" w:eastAsia="zh-CN"/>
        </w:rPr>
        <w:t>值</w:t>
      </w:r>
      <w:r>
        <w:rPr>
          <w:rFonts w:hint="eastAsia"/>
        </w:rPr>
        <w:t>、湿筛试验、持久起泡性、</w:t>
      </w:r>
      <w:bookmarkStart w:id="134" w:name="_Hlk181000742"/>
      <w:r>
        <w:rPr>
          <w:rFonts w:hint="eastAsia"/>
        </w:rPr>
        <w:t>分散稳定性和倾倒性</w:t>
      </w:r>
      <w:bookmarkEnd w:id="134"/>
      <w:r>
        <w:t>。</w:t>
      </w:r>
    </w:p>
    <w:p w14:paraId="4E3A42C6">
      <w:pPr>
        <w:pStyle w:val="42"/>
        <w:ind w:left="-2" w:leftChars="-1"/>
      </w:pPr>
      <w:r>
        <w:rPr>
          <w:rFonts w:hint="eastAsia"/>
        </w:rPr>
        <w:t>型式检验</w:t>
      </w:r>
    </w:p>
    <w:p w14:paraId="4B37C2B3">
      <w:pPr>
        <w:pStyle w:val="21"/>
      </w:pPr>
      <w:r>
        <w:rPr>
          <w:rFonts w:hint="eastAsia"/>
        </w:rPr>
        <w:t>型式检验项目为第4章中的全部项目，在正常连续生产情况下，每3个月至少进行一次。有下述情况之一，应进行型式检验：</w:t>
      </w:r>
    </w:p>
    <w:p w14:paraId="7E94D175">
      <w:pPr>
        <w:pStyle w:val="21"/>
        <w:rPr>
          <w:rFonts w:hint="eastAsia"/>
        </w:rPr>
      </w:pPr>
      <w:r>
        <w:rPr>
          <w:rFonts w:hint="eastAsia"/>
        </w:rPr>
        <w:t>a）原料有较大改变，可能影响产品质量时；</w:t>
      </w:r>
    </w:p>
    <w:p w14:paraId="53919E10">
      <w:pPr>
        <w:pStyle w:val="21"/>
      </w:pPr>
      <w:r>
        <w:rPr>
          <w:rFonts w:hint="eastAsia"/>
        </w:rPr>
        <w:t>b）生产地址、生产设备或生产工艺有较大改变，可能影响产品质量时；</w:t>
      </w:r>
    </w:p>
    <w:p w14:paraId="129E7806">
      <w:pPr>
        <w:pStyle w:val="21"/>
        <w:rPr>
          <w:rFonts w:hint="eastAsia"/>
        </w:rPr>
      </w:pPr>
      <w:r>
        <w:t>c</w:t>
      </w:r>
      <w:r>
        <w:rPr>
          <w:rFonts w:hint="eastAsia"/>
        </w:rPr>
        <w:t>）停产后又恢复生产时；</w:t>
      </w:r>
    </w:p>
    <w:p w14:paraId="07BA81F3">
      <w:pPr>
        <w:pStyle w:val="21"/>
      </w:pPr>
      <w:r>
        <w:t>d</w:t>
      </w:r>
      <w:r>
        <w:rPr>
          <w:rFonts w:hint="eastAsia"/>
        </w:rPr>
        <w:t>）国家质量监管机构提出型式检验要求时。</w:t>
      </w:r>
    </w:p>
    <w:p w14:paraId="72403F76">
      <w:pPr>
        <w:pStyle w:val="42"/>
        <w:ind w:left="-2" w:leftChars="-1"/>
        <w:rPr>
          <w:rFonts w:hint="eastAsia"/>
        </w:rPr>
      </w:pPr>
      <w:r>
        <w:rPr>
          <w:rFonts w:hint="eastAsia"/>
        </w:rPr>
        <w:t>判定规则</w:t>
      </w:r>
    </w:p>
    <w:p w14:paraId="662C9729">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按 GB/T 8170—2008中4.3.3判定检验结果是否符合本文件要求。</w:t>
      </w:r>
    </w:p>
    <w:p w14:paraId="320A74DF">
      <w:pPr>
        <w:pStyle w:val="21"/>
        <w:rPr>
          <w:rFonts w:hint="eastAsia"/>
        </w:rPr>
      </w:pPr>
      <w:r>
        <w:rPr>
          <w:rFonts w:hint="eastAsia"/>
        </w:rPr>
        <w:t>出厂检验和型式检验中，任一项目不符合第4章的技术要求判为该批次产品不合格。</w:t>
      </w:r>
    </w:p>
    <w:p w14:paraId="14E11CB5">
      <w:pPr>
        <w:pStyle w:val="50"/>
      </w:pPr>
      <w:r>
        <w:rPr>
          <w:rFonts w:hint="eastAsia"/>
        </w:rPr>
        <w:t>验收和质量保证期</w:t>
      </w:r>
      <w:bookmarkEnd w:id="119"/>
      <w:bookmarkEnd w:id="120"/>
      <w:bookmarkEnd w:id="121"/>
      <w:bookmarkEnd w:id="122"/>
      <w:bookmarkEnd w:id="123"/>
      <w:bookmarkEnd w:id="124"/>
      <w:bookmarkEnd w:id="125"/>
      <w:bookmarkEnd w:id="126"/>
      <w:bookmarkEnd w:id="127"/>
      <w:bookmarkEnd w:id="128"/>
    </w:p>
    <w:p w14:paraId="75E11131">
      <w:pPr>
        <w:pStyle w:val="42"/>
      </w:pPr>
      <w:bookmarkStart w:id="135" w:name="_Toc494273411"/>
      <w:r>
        <w:rPr>
          <w:rFonts w:hint="eastAsia"/>
        </w:rPr>
        <w:t>验收</w:t>
      </w:r>
      <w:bookmarkEnd w:id="135"/>
    </w:p>
    <w:p w14:paraId="545268CC">
      <w:pPr>
        <w:pStyle w:val="21"/>
      </w:pPr>
      <w:r>
        <w:rPr>
          <w:rFonts w:hint="eastAsia"/>
        </w:rPr>
        <w:t>应符合 GB/T 1604的规定。</w:t>
      </w:r>
    </w:p>
    <w:p w14:paraId="681658D4">
      <w:pPr>
        <w:pStyle w:val="42"/>
      </w:pPr>
      <w:bookmarkStart w:id="136" w:name="_Toc494273412"/>
      <w:r>
        <w:rPr>
          <w:rFonts w:hint="eastAsia"/>
        </w:rPr>
        <w:t>质量保证期</w:t>
      </w:r>
      <w:bookmarkEnd w:id="136"/>
    </w:p>
    <w:p w14:paraId="401975CE">
      <w:pPr>
        <w:pStyle w:val="21"/>
        <w:rPr>
          <w:rFonts w:hint="eastAsia"/>
        </w:rPr>
      </w:pPr>
      <w:r>
        <w:rPr>
          <w:rFonts w:hint="eastAsia"/>
        </w:rPr>
        <w:t>在8.2的储运条件下，</w:t>
      </w:r>
      <w:r>
        <w:rPr>
          <w:rFonts w:hint="eastAsia"/>
          <w:lang w:eastAsia="zh-CN"/>
        </w:rPr>
        <w:t>唑啉草酯可分散油悬浮剂</w:t>
      </w:r>
      <w:r>
        <w:rPr>
          <w:rFonts w:hint="eastAsia"/>
        </w:rPr>
        <w:t>的质量保证期从生产日期算起为2年</w:t>
      </w:r>
      <w:r>
        <w:rPr>
          <w:rFonts w:hint="eastAsia" w:hAnsi="宋体" w:cs="Arial"/>
        </w:rPr>
        <w:t>。</w:t>
      </w:r>
      <w:r>
        <w:rPr>
          <w:rFonts w:hAnsi="宋体" w:cs="Arial"/>
        </w:rPr>
        <w:t>质量保证期内，各项指标均应符合</w:t>
      </w:r>
      <w:r>
        <w:rPr>
          <w:rFonts w:hint="eastAsia" w:hAnsi="宋体" w:cs="Arial"/>
        </w:rPr>
        <w:t>本文件</w:t>
      </w:r>
      <w:r>
        <w:rPr>
          <w:rFonts w:hAnsi="宋体" w:cs="Arial"/>
        </w:rPr>
        <w:t>要求</w:t>
      </w:r>
      <w:r>
        <w:rPr>
          <w:rFonts w:hint="eastAsia"/>
        </w:rPr>
        <w:t>。</w:t>
      </w:r>
    </w:p>
    <w:p w14:paraId="219022EE">
      <w:pPr>
        <w:pStyle w:val="50"/>
      </w:pPr>
      <w:bookmarkStart w:id="137" w:name="_Toc465682846"/>
      <w:bookmarkStart w:id="138" w:name="_Toc465930220"/>
      <w:bookmarkStart w:id="139" w:name="_Toc463860754"/>
      <w:bookmarkStart w:id="140" w:name="_Toc465776945"/>
      <w:bookmarkStart w:id="141" w:name="_Toc496876279"/>
      <w:bookmarkStart w:id="142" w:name="_Toc494273413"/>
      <w:bookmarkStart w:id="143" w:name="_Toc496808861"/>
      <w:r>
        <w:rPr>
          <w:rFonts w:hint="eastAsia"/>
        </w:rPr>
        <w:t>标志、标签、包装、储运</w:t>
      </w:r>
      <w:bookmarkEnd w:id="129"/>
      <w:bookmarkEnd w:id="130"/>
      <w:bookmarkEnd w:id="131"/>
      <w:bookmarkEnd w:id="132"/>
      <w:bookmarkEnd w:id="137"/>
      <w:bookmarkEnd w:id="138"/>
      <w:bookmarkEnd w:id="139"/>
      <w:bookmarkEnd w:id="140"/>
      <w:bookmarkEnd w:id="141"/>
      <w:bookmarkEnd w:id="142"/>
      <w:bookmarkEnd w:id="143"/>
    </w:p>
    <w:p w14:paraId="1DE63C57">
      <w:pPr>
        <w:pStyle w:val="42"/>
      </w:pPr>
      <w:bookmarkStart w:id="144" w:name="_Toc494273414"/>
      <w:bookmarkStart w:id="145" w:name="_Toc188041047"/>
      <w:r>
        <w:rPr>
          <w:rFonts w:hint="eastAsia"/>
        </w:rPr>
        <w:t>标志、标签、包装</w:t>
      </w:r>
      <w:bookmarkEnd w:id="144"/>
      <w:bookmarkEnd w:id="145"/>
    </w:p>
    <w:p w14:paraId="4B9C0C98">
      <w:pPr>
        <w:pStyle w:val="21"/>
        <w:rPr>
          <w:rFonts w:hint="eastAsia"/>
        </w:rPr>
      </w:pPr>
      <w:r>
        <w:rPr>
          <w:rFonts w:hint="eastAsia"/>
        </w:rPr>
        <w:t>唑啉草酯可分散油悬浮</w:t>
      </w:r>
      <w:r>
        <w:rPr>
          <w:rFonts w:hint="eastAsia" w:ascii="宋体" w:hAnsi="宋体" w:eastAsia="宋体" w:cs="宋体"/>
        </w:rPr>
        <w:t>剂的标志、标签和包装应符合 GB 3796的规定；唑啉草酯可分散油悬浮剂的包装采用清洁、干燥的聚酯瓶包装，外用瓦楞纸箱包装。也可根据用户要求或订货协议采用其他形式的包装，但应符合GB 3796的规定</w:t>
      </w:r>
      <w:r>
        <w:rPr>
          <w:rFonts w:hint="eastAsia"/>
        </w:rPr>
        <w:t>。</w:t>
      </w:r>
    </w:p>
    <w:p w14:paraId="4E9F8656">
      <w:pPr>
        <w:pStyle w:val="42"/>
      </w:pPr>
      <w:bookmarkStart w:id="146" w:name="_Toc494273415"/>
      <w:bookmarkStart w:id="147" w:name="_Toc188041048"/>
      <w:r>
        <w:rPr>
          <w:rFonts w:hint="eastAsia"/>
        </w:rPr>
        <w:t>储运</w:t>
      </w:r>
      <w:bookmarkEnd w:id="146"/>
      <w:bookmarkEnd w:id="147"/>
    </w:p>
    <w:p w14:paraId="3037D059">
      <w:pPr>
        <w:pStyle w:val="21"/>
      </w:pPr>
      <w:r>
        <w:rPr>
          <w:rFonts w:hint="eastAsia"/>
          <w:lang w:eastAsia="zh-CN"/>
        </w:rPr>
        <w:t>唑啉草酯可分散油悬浮剂</w:t>
      </w:r>
      <w:r>
        <w:rPr>
          <w:rFonts w:hint="eastAsia"/>
        </w:rPr>
        <w:t>包装件应储存在通风、干燥的库房中。储运时，严防潮湿和日晒，不应与食物、种子、饲料混放，避免与皮肤、眼睛接触，防止由口鼻吸入。</w:t>
      </w:r>
    </w:p>
    <w:p w14:paraId="362D5072">
      <w:pPr>
        <w:pStyle w:val="116"/>
        <w:rPr>
          <w:rFonts w:hint="eastAsia" w:hAnsi="黑体" w:cs="黑体"/>
        </w:rPr>
      </w:pPr>
      <w:r>
        <w:br w:type="page"/>
      </w:r>
      <w:r>
        <w:br w:type="textWrapping"/>
      </w:r>
      <w:r>
        <w:rPr>
          <w:rFonts w:hint="eastAsia"/>
        </w:rPr>
        <w:t>（资料性）</w:t>
      </w:r>
      <w:r>
        <w:br w:type="textWrapping"/>
      </w:r>
      <w:r>
        <w:rPr>
          <w:rFonts w:hint="eastAsia" w:hAnsi="黑体" w:cs="黑体"/>
          <w:lang w:eastAsia="zh-CN"/>
        </w:rPr>
        <w:t>唑啉草酯</w:t>
      </w:r>
      <w:r>
        <w:rPr>
          <w:rFonts w:hint="eastAsia" w:hAnsi="黑体" w:cs="黑体"/>
          <w:lang w:val="en-US" w:eastAsia="zh-CN"/>
        </w:rPr>
        <w:t>和解草酯</w:t>
      </w:r>
      <w:r>
        <w:rPr>
          <w:rFonts w:hint="eastAsia" w:hAnsi="黑体" w:cs="黑体"/>
        </w:rPr>
        <w:t>其他名称、结构式和基本物化参数</w:t>
      </w:r>
    </w:p>
    <w:p w14:paraId="29B425E2">
      <w:pPr>
        <w:pStyle w:val="28"/>
        <w:widowControl/>
        <w:numPr>
          <w:ilvl w:val="1"/>
          <w:numId w:val="19"/>
        </w:numPr>
        <w:tabs>
          <w:tab w:val="left" w:pos="360"/>
        </w:tabs>
        <w:wordWrap w:val="0"/>
        <w:overflowPunct w:val="0"/>
        <w:autoSpaceDE w:val="0"/>
        <w:spacing w:before="312" w:beforeLines="100" w:after="312" w:afterLines="100"/>
        <w:ind w:left="420" w:leftChars="200"/>
        <w:outlineLvl w:val="1"/>
        <w:rPr>
          <w:rFonts w:hint="eastAsia" w:ascii="黑体" w:hAnsi="黑体" w:eastAsia="黑体" w:cs="黑体"/>
          <w:sz w:val="21"/>
          <w:szCs w:val="21"/>
        </w:rPr>
      </w:pPr>
      <w:bookmarkStart w:id="148" w:name="_Hlk146469080"/>
      <w:r>
        <w:rPr>
          <w:rFonts w:hint="eastAsia" w:ascii="黑体" w:hAnsi="黑体" w:eastAsia="黑体" w:cs="黑体"/>
          <w:sz w:val="21"/>
          <w:szCs w:val="21"/>
          <w:lang w:eastAsia="zh-CN"/>
        </w:rPr>
        <w:t>唑啉草酯</w:t>
      </w:r>
    </w:p>
    <w:p w14:paraId="62063874">
      <w:pPr>
        <w:pStyle w:val="21"/>
        <w:tabs>
          <w:tab w:val="center" w:pos="0"/>
          <w:tab w:val="clear" w:pos="4201"/>
          <w:tab w:val="clear" w:pos="9298"/>
        </w:tabs>
        <w:rPr>
          <w:rFonts w:hint="eastAsia"/>
          <w:szCs w:val="21"/>
        </w:rPr>
      </w:pPr>
      <w:r>
        <w:rPr>
          <w:rFonts w:hint="eastAsia"/>
          <w:szCs w:val="21"/>
        </w:rPr>
        <w:t>唑啉草酯的其他名称、结构式和基本物化参数如下：</w:t>
      </w:r>
    </w:p>
    <w:bookmarkEnd w:id="148"/>
    <w:p w14:paraId="04693018">
      <w:pPr>
        <w:pStyle w:val="21"/>
        <w:ind w:left="420" w:firstLine="0" w:firstLineChars="0"/>
        <w:rPr>
          <w:rFonts w:hint="eastAsia" w:hAnsi="宋体" w:cs="Arial"/>
          <w:szCs w:val="21"/>
        </w:rPr>
      </w:pPr>
      <w:bookmarkStart w:id="149" w:name="_Hlk180767892"/>
      <w:bookmarkStart w:id="150" w:name="_Hlk180754909"/>
      <w:bookmarkStart w:id="151" w:name="_Hlk180674781"/>
      <w:r>
        <w:rPr>
          <w:rFonts w:ascii="Times New Roman"/>
          <w:spacing w:val="-60"/>
          <w:szCs w:val="21"/>
        </w:rPr>
        <w:t>—</w:t>
      </w:r>
      <w:r>
        <w:rPr>
          <w:rFonts w:ascii="Times New Roman"/>
          <w:szCs w:val="21"/>
        </w:rPr>
        <w:t>—</w:t>
      </w:r>
      <w:r>
        <w:rPr>
          <w:rFonts w:hAnsi="宋体" w:cs="Arial"/>
          <w:szCs w:val="21"/>
        </w:rPr>
        <w:t>ISO</w:t>
      </w:r>
      <w:r>
        <w:rPr>
          <w:rFonts w:hint="eastAsia" w:hAnsi="宋体" w:cs="Arial"/>
          <w:szCs w:val="21"/>
        </w:rPr>
        <w:t>通用名称：P</w:t>
      </w:r>
      <w:r>
        <w:rPr>
          <w:rFonts w:hAnsi="宋体" w:cs="Arial"/>
          <w:szCs w:val="21"/>
        </w:rPr>
        <w:t>inoxaden</w:t>
      </w:r>
      <w:r>
        <w:rPr>
          <w:rFonts w:hint="eastAsia" w:hAnsi="宋体" w:cs="Arial"/>
          <w:szCs w:val="21"/>
        </w:rPr>
        <w:t>；</w:t>
      </w:r>
    </w:p>
    <w:p w14:paraId="63748EA1">
      <w:pPr>
        <w:pStyle w:val="21"/>
        <w:ind w:left="420" w:firstLine="0" w:firstLineChars="0"/>
        <w:rPr>
          <w:rFonts w:hint="eastAsia" w:hAnsi="宋体" w:cs="Arial"/>
          <w:szCs w:val="21"/>
        </w:rPr>
      </w:pPr>
      <w:r>
        <w:rPr>
          <w:rFonts w:ascii="Times New Roman"/>
          <w:spacing w:val="-60"/>
          <w:szCs w:val="21"/>
        </w:rPr>
        <w:t>—</w:t>
      </w:r>
      <w:r>
        <w:rPr>
          <w:rFonts w:ascii="Times New Roman"/>
          <w:szCs w:val="21"/>
        </w:rPr>
        <w:t>—</w:t>
      </w:r>
      <w:r>
        <w:rPr>
          <w:rFonts w:hint="eastAsia" w:hAnsi="宋体" w:cs="Arial"/>
          <w:szCs w:val="21"/>
        </w:rPr>
        <w:t>化学名称：8-(2,6-二乙基-p-甲苯基)-1,2,4,5-四氢-7-氧-7H-吡唑[1,2-d][1,4,5]氧二唑频-9-基2,2-二甲基丙酸酯；</w:t>
      </w:r>
    </w:p>
    <w:p w14:paraId="5438B616">
      <w:pPr>
        <w:pStyle w:val="21"/>
        <w:ind w:left="420" w:firstLine="0" w:firstLineChars="0"/>
        <w:rPr>
          <w:rFonts w:hint="eastAsia" w:hAnsi="宋体" w:cs="Arial"/>
          <w:iCs/>
          <w:szCs w:val="21"/>
        </w:rPr>
      </w:pPr>
      <w:r>
        <w:rPr>
          <w:rFonts w:ascii="Times New Roman"/>
          <w:spacing w:val="-60"/>
          <w:szCs w:val="21"/>
        </w:rPr>
        <w:t>—</w:t>
      </w:r>
      <w:r>
        <w:rPr>
          <w:rFonts w:ascii="Times New Roman"/>
          <w:szCs w:val="21"/>
        </w:rPr>
        <w:t>—</w:t>
      </w:r>
      <w:r>
        <w:rPr>
          <w:rFonts w:hAnsi="宋体" w:cs="Arial"/>
          <w:iCs/>
          <w:szCs w:val="21"/>
        </w:rPr>
        <w:t>CAS</w:t>
      </w:r>
      <w:r>
        <w:rPr>
          <w:rFonts w:hint="eastAsia" w:hAnsi="宋体" w:cs="Arial"/>
          <w:iCs/>
          <w:szCs w:val="21"/>
        </w:rPr>
        <w:t>登录号：</w:t>
      </w:r>
      <w:r>
        <w:rPr>
          <w:rFonts w:hAnsi="宋体" w:cs="Arial"/>
          <w:iCs/>
          <w:szCs w:val="21"/>
        </w:rPr>
        <w:t>243973-20-8</w:t>
      </w:r>
      <w:r>
        <w:rPr>
          <w:rFonts w:hint="eastAsia" w:hAnsi="宋体" w:cs="Arial"/>
          <w:iCs/>
          <w:szCs w:val="21"/>
        </w:rPr>
        <w:t>；</w:t>
      </w:r>
    </w:p>
    <w:bookmarkEnd w:id="149"/>
    <w:p w14:paraId="18F7731E">
      <w:pPr>
        <w:pStyle w:val="21"/>
        <w:ind w:left="420" w:firstLine="0" w:firstLineChars="0"/>
        <w:rPr>
          <w:rFonts w:hAnsi="宋体" w:cs="Arial"/>
          <w:szCs w:val="21"/>
        </w:rPr>
      </w:pPr>
      <w:r>
        <w:rPr>
          <w:rFonts w:ascii="Times New Roman"/>
          <w:spacing w:val="-60"/>
          <w:szCs w:val="21"/>
        </w:rPr>
        <w:t>—</w:t>
      </w:r>
      <w:r>
        <w:rPr>
          <w:rFonts w:ascii="Times New Roman"/>
          <w:szCs w:val="21"/>
        </w:rPr>
        <w:t>—</w:t>
      </w:r>
      <w:r>
        <w:rPr>
          <w:rFonts w:hint="eastAsia" w:hAnsi="宋体" w:cs="Arial"/>
          <w:szCs w:val="21"/>
        </w:rPr>
        <w:t>结构式：</w:t>
      </w:r>
    </w:p>
    <w:p w14:paraId="39ACBF9E">
      <w:pPr>
        <w:spacing w:line="360" w:lineRule="auto"/>
        <w:jc w:val="center"/>
        <w:rPr>
          <w:rFonts w:hint="eastAsia" w:ascii="宋体" w:hAnsi="宋体" w:eastAsia="宋体" w:cs="Arial"/>
          <w:szCs w:val="21"/>
          <w:lang w:eastAsia="zh-CN"/>
        </w:rPr>
      </w:pPr>
      <w:r>
        <w:rPr>
          <w:rFonts w:hint="eastAsia" w:ascii="宋体" w:hAnsi="宋体" w:eastAsia="宋体" w:cs="宋体"/>
          <w:sz w:val="21"/>
          <w:szCs w:val="21"/>
        </w:rPr>
        <w:object>
          <v:shape id="_x0000_i1027" o:spt="75" type="#_x0000_t75" style="height:97pt;width:111.75pt;" o:ole="t" filled="f" o:preferrelative="t" stroked="f" coordsize="21600,21600">
            <v:path/>
            <v:fill on="f" focussize="0,0"/>
            <v:stroke on="f" joinstyle="miter"/>
            <v:imagedata r:id="rId19" o:title=""/>
            <o:lock v:ext="edit" aspectratio="f"/>
            <w10:wrap type="none"/>
            <w10:anchorlock/>
          </v:shape>
          <o:OLEObject Type="Embed" ProgID="ChemDraw.Document.6.0" ShapeID="_x0000_i1027" DrawAspect="Content" ObjectID="_1468075729" r:id="rId18">
            <o:LockedField>false</o:LockedField>
          </o:OLEObject>
        </w:object>
      </w:r>
    </w:p>
    <w:p w14:paraId="24734BFB">
      <w:pPr>
        <w:ind w:left="420" w:leftChars="200"/>
        <w:rPr>
          <w:rFonts w:hint="eastAsia" w:ascii="宋体" w:hAnsi="宋体" w:cs="Arial"/>
          <w:color w:val="333333"/>
          <w:szCs w:val="21"/>
          <w:shd w:val="clear" w:color="auto" w:fill="FFFFFF"/>
        </w:rPr>
      </w:pPr>
      <w:r>
        <w:rPr>
          <w:spacing w:val="-60"/>
          <w:szCs w:val="21"/>
        </w:rPr>
        <w:t>—</w:t>
      </w:r>
      <w:r>
        <w:rPr>
          <w:szCs w:val="21"/>
        </w:rPr>
        <w:t>—</w:t>
      </w:r>
      <w:r>
        <w:rPr>
          <w:rFonts w:hint="eastAsia"/>
          <w:szCs w:val="21"/>
        </w:rPr>
        <w:t>分子</w:t>
      </w:r>
      <w:r>
        <w:rPr>
          <w:rFonts w:hint="eastAsia" w:ascii="宋体" w:hAnsi="宋体" w:cs="Arial"/>
          <w:szCs w:val="21"/>
        </w:rPr>
        <w:t>式：</w:t>
      </w:r>
      <w:r>
        <w:rPr>
          <w:rFonts w:hint="eastAsia" w:ascii="宋体" w:hAnsi="宋体" w:cs="宋体"/>
          <w:color w:val="000000"/>
          <w:szCs w:val="21"/>
        </w:rPr>
        <w:t>C</w:t>
      </w:r>
      <w:r>
        <w:rPr>
          <w:rFonts w:hint="eastAsia" w:ascii="宋体" w:hAnsi="宋体" w:cs="宋体"/>
          <w:color w:val="000000"/>
          <w:szCs w:val="21"/>
          <w:vertAlign w:val="subscript"/>
        </w:rPr>
        <w:t>23</w:t>
      </w:r>
      <w:r>
        <w:rPr>
          <w:rFonts w:hint="eastAsia" w:ascii="宋体" w:hAnsi="宋体" w:cs="宋体"/>
          <w:color w:val="000000"/>
          <w:szCs w:val="21"/>
        </w:rPr>
        <w:t>H</w:t>
      </w:r>
      <w:r>
        <w:rPr>
          <w:rFonts w:hint="eastAsia" w:ascii="宋体" w:hAnsi="宋体" w:cs="宋体"/>
          <w:color w:val="000000"/>
          <w:szCs w:val="21"/>
          <w:vertAlign w:val="subscript"/>
        </w:rPr>
        <w:t>32</w:t>
      </w:r>
      <w:r>
        <w:rPr>
          <w:rFonts w:hint="eastAsia" w:ascii="宋体" w:hAnsi="宋体" w:cs="宋体"/>
          <w:color w:val="000000"/>
          <w:szCs w:val="21"/>
        </w:rPr>
        <w:t>N</w:t>
      </w:r>
      <w:r>
        <w:rPr>
          <w:rFonts w:hint="eastAsia" w:ascii="宋体" w:hAnsi="宋体" w:cs="宋体"/>
          <w:color w:val="000000"/>
          <w:szCs w:val="21"/>
          <w:vertAlign w:val="subscript"/>
        </w:rPr>
        <w:t>2</w:t>
      </w:r>
      <w:r>
        <w:rPr>
          <w:rFonts w:hint="eastAsia" w:ascii="宋体" w:hAnsi="宋体" w:cs="宋体"/>
          <w:color w:val="000000"/>
          <w:szCs w:val="21"/>
        </w:rPr>
        <w:t>O</w:t>
      </w:r>
      <w:r>
        <w:rPr>
          <w:rFonts w:hint="eastAsia" w:ascii="宋体" w:hAnsi="宋体" w:cs="宋体"/>
          <w:color w:val="000000"/>
          <w:szCs w:val="21"/>
          <w:vertAlign w:val="subscript"/>
        </w:rPr>
        <w:t>4</w:t>
      </w:r>
      <w:r>
        <w:rPr>
          <w:rFonts w:hint="eastAsia" w:ascii="宋体" w:hAnsi="宋体" w:cs="Arial"/>
          <w:szCs w:val="21"/>
        </w:rPr>
        <w:t>；</w:t>
      </w:r>
    </w:p>
    <w:p w14:paraId="4992AB85">
      <w:pPr>
        <w:ind w:left="420" w:leftChars="200"/>
        <w:rPr>
          <w:rFonts w:hint="eastAsia" w:ascii="宋体" w:hAnsi="宋体" w:cs="Arial"/>
          <w:szCs w:val="21"/>
        </w:rPr>
      </w:pPr>
      <w:r>
        <w:rPr>
          <w:spacing w:val="-60"/>
          <w:szCs w:val="21"/>
        </w:rPr>
        <w:t>—</w:t>
      </w:r>
      <w:r>
        <w:rPr>
          <w:szCs w:val="21"/>
        </w:rPr>
        <w:t>—</w:t>
      </w:r>
      <w:r>
        <w:rPr>
          <w:rFonts w:hint="eastAsia" w:ascii="宋体" w:hAnsi="宋体" w:cs="Arial"/>
          <w:szCs w:val="21"/>
        </w:rPr>
        <w:t>相对分子质量：400.5；</w:t>
      </w:r>
    </w:p>
    <w:p w14:paraId="6F656B80">
      <w:pPr>
        <w:ind w:left="420" w:leftChars="200"/>
        <w:rPr>
          <w:rFonts w:hint="eastAsia" w:ascii="宋体" w:hAnsi="宋体" w:cs="宋体"/>
          <w:szCs w:val="21"/>
        </w:rPr>
      </w:pPr>
      <w:r>
        <w:rPr>
          <w:spacing w:val="-60"/>
          <w:szCs w:val="21"/>
        </w:rPr>
        <w:t>—</w:t>
      </w:r>
      <w:r>
        <w:rPr>
          <w:szCs w:val="21"/>
        </w:rPr>
        <w:t>—</w:t>
      </w:r>
      <w:r>
        <w:rPr>
          <w:rFonts w:hint="eastAsia" w:hAnsi="宋体" w:cs="Arial"/>
          <w:szCs w:val="21"/>
        </w:rPr>
        <w:t>生物</w:t>
      </w:r>
      <w:r>
        <w:rPr>
          <w:rFonts w:hint="eastAsia" w:ascii="宋体" w:hAnsi="宋体" w:cs="宋体"/>
          <w:szCs w:val="21"/>
        </w:rPr>
        <w:t>活性：除草；</w:t>
      </w:r>
    </w:p>
    <w:p w14:paraId="321F074B">
      <w:pPr>
        <w:pStyle w:val="21"/>
        <w:ind w:firstLine="450" w:firstLineChars="500"/>
        <w:rPr>
          <w:rFonts w:hint="eastAsia" w:hAnsi="宋体" w:cs="Arial"/>
        </w:rPr>
      </w:pPr>
      <w:r>
        <w:rPr>
          <w:spacing w:val="-60"/>
          <w:szCs w:val="21"/>
        </w:rPr>
        <w:t>—</w:t>
      </w:r>
      <w:r>
        <w:rPr>
          <w:szCs w:val="21"/>
        </w:rPr>
        <w:t>—</w:t>
      </w:r>
      <w:r>
        <w:rPr>
          <w:rFonts w:hint="eastAsia" w:hAnsi="宋体" w:cs="Arial"/>
        </w:rPr>
        <w:t>熔点：</w:t>
      </w:r>
      <w:bookmarkStart w:id="152" w:name="_Hlk180762872"/>
      <w:r>
        <w:rPr>
          <w:rFonts w:hint="eastAsia" w:hAnsi="宋体" w:cs="Arial"/>
        </w:rPr>
        <w:t>120.5</w:t>
      </w:r>
      <w:r>
        <w:rPr>
          <w:rFonts w:hint="eastAsia" w:hAnsi="宋体" w:cs="Arial"/>
          <w:lang w:val="en-US" w:eastAsia="zh-CN"/>
        </w:rPr>
        <w:t xml:space="preserve"> </w:t>
      </w:r>
      <w:r>
        <w:rPr>
          <w:rFonts w:hint="eastAsia" w:hAnsi="宋体" w:cs="Arial"/>
        </w:rPr>
        <w:t>℃</w:t>
      </w:r>
      <w:r>
        <w:rPr>
          <w:rFonts w:ascii="Arial" w:hAnsi="Arial" w:cs="Arial"/>
        </w:rPr>
        <w:t>~</w:t>
      </w:r>
      <w:r>
        <w:rPr>
          <w:rFonts w:hint="eastAsia" w:hAnsi="宋体" w:cs="Arial"/>
        </w:rPr>
        <w:t>121.6</w:t>
      </w:r>
      <w:r>
        <w:rPr>
          <w:rFonts w:hint="eastAsia" w:hAnsi="宋体" w:cs="Arial"/>
          <w:lang w:val="en-US" w:eastAsia="zh-CN"/>
        </w:rPr>
        <w:t xml:space="preserve"> </w:t>
      </w:r>
      <w:r>
        <w:rPr>
          <w:rFonts w:hint="eastAsia" w:hAnsi="宋体" w:cs="Arial"/>
        </w:rPr>
        <w:t>℃；</w:t>
      </w:r>
      <w:bookmarkEnd w:id="152"/>
    </w:p>
    <w:p w14:paraId="3DC4B352">
      <w:pPr>
        <w:pStyle w:val="21"/>
        <w:ind w:firstLine="450" w:firstLineChars="500"/>
        <w:rPr>
          <w:rFonts w:hint="eastAsia" w:hAnsi="宋体" w:cs="Arial"/>
        </w:rPr>
      </w:pPr>
      <w:r>
        <w:rPr>
          <w:spacing w:val="-60"/>
          <w:szCs w:val="21"/>
        </w:rPr>
        <w:t>—</w:t>
      </w:r>
      <w:r>
        <w:rPr>
          <w:szCs w:val="21"/>
        </w:rPr>
        <w:t>—</w:t>
      </w:r>
      <w:r>
        <w:rPr>
          <w:rFonts w:hint="eastAsia" w:hAnsi="宋体" w:cs="Arial"/>
        </w:rPr>
        <w:t>蒸气压：2</w:t>
      </w:r>
      <w:r>
        <w:rPr>
          <w:rFonts w:hint="eastAsia" w:hAnsi="宋体" w:cs="Arial"/>
          <w:lang w:val="en-US" w:eastAsia="zh-CN"/>
        </w:rPr>
        <w:t>.0×10</w:t>
      </w:r>
      <w:r>
        <w:rPr>
          <w:rFonts w:hint="eastAsia" w:hAnsi="宋体" w:cs="Arial"/>
          <w:vertAlign w:val="superscript"/>
          <w:lang w:val="en-US" w:eastAsia="zh-CN"/>
        </w:rPr>
        <w:t>-4</w:t>
      </w:r>
      <w:r>
        <w:rPr>
          <w:rFonts w:hint="eastAsia" w:hAnsi="宋体" w:cs="Arial"/>
        </w:rPr>
        <w:t xml:space="preserve"> mPa（2</w:t>
      </w:r>
      <w:r>
        <w:rPr>
          <w:rFonts w:hAnsi="宋体" w:cs="Arial"/>
        </w:rPr>
        <w:t>0</w:t>
      </w:r>
      <w:r>
        <w:rPr>
          <w:rFonts w:hint="eastAsia" w:hAnsi="宋体" w:cs="Arial"/>
          <w:lang w:val="en-US" w:eastAsia="zh-CN"/>
        </w:rPr>
        <w:t xml:space="preserve"> </w:t>
      </w:r>
      <w:r>
        <w:rPr>
          <w:rFonts w:hint="eastAsia" w:hAnsi="宋体" w:cs="Arial"/>
        </w:rPr>
        <w:t>℃）、</w:t>
      </w:r>
      <w:r>
        <w:rPr>
          <w:rFonts w:hint="eastAsia" w:hAnsi="宋体" w:cs="Arial"/>
          <w:lang w:val="en-US" w:eastAsia="zh-CN"/>
        </w:rPr>
        <w:t>4.6×10</w:t>
      </w:r>
      <w:r>
        <w:rPr>
          <w:rFonts w:hint="eastAsia" w:hAnsi="宋体" w:cs="Arial"/>
          <w:vertAlign w:val="superscript"/>
          <w:lang w:val="en-US" w:eastAsia="zh-CN"/>
        </w:rPr>
        <w:t>-4</w:t>
      </w:r>
      <w:r>
        <w:rPr>
          <w:rFonts w:hint="eastAsia" w:hAnsi="宋体" w:cs="Arial"/>
        </w:rPr>
        <w:t xml:space="preserve"> mPa（25</w:t>
      </w:r>
      <w:r>
        <w:rPr>
          <w:rFonts w:hint="eastAsia" w:hAnsi="宋体" w:cs="Arial"/>
          <w:lang w:val="en-US" w:eastAsia="zh-CN"/>
        </w:rPr>
        <w:t xml:space="preserve"> </w:t>
      </w:r>
      <w:r>
        <w:rPr>
          <w:rFonts w:hint="eastAsia" w:hAnsi="宋体" w:cs="Arial"/>
        </w:rPr>
        <w:t>℃）；</w:t>
      </w:r>
    </w:p>
    <w:p w14:paraId="348AD824">
      <w:pPr>
        <w:pStyle w:val="21"/>
        <w:ind w:firstLine="450" w:firstLineChars="500"/>
        <w:rPr>
          <w:rFonts w:hint="eastAsia" w:hAnsi="宋体" w:cs="Arial"/>
        </w:rPr>
      </w:pPr>
      <w:r>
        <w:rPr>
          <w:spacing w:val="-60"/>
          <w:szCs w:val="21"/>
        </w:rPr>
        <w:t>—</w:t>
      </w:r>
      <w:r>
        <w:rPr>
          <w:szCs w:val="21"/>
        </w:rPr>
        <w:t>—</w:t>
      </w:r>
      <w:r>
        <w:rPr>
          <w:rFonts w:hint="eastAsia" w:hAnsi="宋体" w:cs="Arial"/>
        </w:rPr>
        <w:t>溶解度（2</w:t>
      </w:r>
      <w:r>
        <w:rPr>
          <w:rFonts w:hAnsi="宋体" w:cs="Arial"/>
        </w:rPr>
        <w:t>0</w:t>
      </w:r>
      <w:r>
        <w:rPr>
          <w:rFonts w:hint="eastAsia" w:hAnsi="宋体" w:cs="Arial"/>
        </w:rPr>
        <w:t>℃</w:t>
      </w:r>
      <w:r>
        <w:rPr>
          <w:rFonts w:ascii="Arial" w:hAnsi="Arial" w:cs="Arial"/>
        </w:rPr>
        <w:t>~</w:t>
      </w:r>
      <w:r>
        <w:rPr>
          <w:rFonts w:hAnsi="宋体" w:cs="Arial"/>
        </w:rPr>
        <w:t>25</w:t>
      </w:r>
      <w:r>
        <w:rPr>
          <w:rFonts w:hint="eastAsia" w:hAnsi="宋体" w:cs="Arial"/>
        </w:rPr>
        <w:t>℃，g/L）：</w:t>
      </w:r>
      <w:bookmarkStart w:id="153" w:name="OLE_LINK1"/>
      <w:bookmarkStart w:id="154" w:name="_Hlk180762889"/>
      <w:r>
        <w:rPr>
          <w:rFonts w:hint="eastAsia" w:hAnsi="宋体" w:cs="Arial"/>
        </w:rPr>
        <w:t>水中</w:t>
      </w:r>
      <w:bookmarkEnd w:id="153"/>
      <w:r>
        <w:rPr>
          <w:rFonts w:hint="eastAsia" w:hAnsi="宋体" w:cs="Arial"/>
        </w:rPr>
        <w:t>0.2，丙酮中250、二氯甲烷中</w:t>
      </w:r>
      <w:r>
        <w:rPr>
          <w:rFonts w:hint="eastAsia" w:hAnsi="宋体" w:cs="Arial"/>
          <w:lang w:val="en-US" w:eastAsia="zh-CN"/>
        </w:rPr>
        <w:t>大于</w:t>
      </w:r>
      <w:r>
        <w:rPr>
          <w:rFonts w:hint="eastAsia" w:hAnsi="宋体" w:cs="Arial"/>
        </w:rPr>
        <w:t>500、乙酸乙酯中130、己烷中1.0、甲醇中260、辛醇中140、甲苯中130</w:t>
      </w:r>
      <w:bookmarkEnd w:id="154"/>
      <w:r>
        <w:rPr>
          <w:rFonts w:hint="eastAsia" w:hAnsi="宋体" w:cs="Arial"/>
        </w:rPr>
        <w:t>；</w:t>
      </w:r>
    </w:p>
    <w:p w14:paraId="72CB92C1">
      <w:pPr>
        <w:ind w:firstLine="450" w:firstLineChars="500"/>
        <w:rPr>
          <w:rFonts w:hint="eastAsia" w:ascii="宋体" w:hAnsi="宋体" w:cs="宋体"/>
          <w:szCs w:val="21"/>
        </w:rPr>
      </w:pPr>
      <w:r>
        <w:rPr>
          <w:rFonts w:hint="eastAsia" w:ascii="宋体" w:hAnsi="宋体" w:eastAsia="宋体" w:cs="宋体"/>
          <w:spacing w:val="-60"/>
          <w:szCs w:val="21"/>
        </w:rPr>
        <w:t>—</w:t>
      </w:r>
      <w:r>
        <w:rPr>
          <w:rFonts w:hint="eastAsia" w:ascii="宋体" w:hAnsi="宋体" w:eastAsia="宋体" w:cs="宋体"/>
          <w:szCs w:val="21"/>
        </w:rPr>
        <w:t>—</w:t>
      </w:r>
      <w:bookmarkStart w:id="155" w:name="_Hlk180683742"/>
      <w:r>
        <w:rPr>
          <w:rFonts w:hint="eastAsia" w:ascii="宋体" w:hAnsi="宋体" w:eastAsia="宋体" w:cs="宋体"/>
        </w:rPr>
        <w:t>稳定性（20</w:t>
      </w:r>
      <w:r>
        <w:rPr>
          <w:rFonts w:hint="eastAsia" w:ascii="宋体" w:hAnsi="宋体" w:eastAsia="宋体" w:cs="宋体"/>
          <w:lang w:val="en-US" w:eastAsia="zh-CN"/>
        </w:rPr>
        <w:t xml:space="preserve"> </w:t>
      </w:r>
      <w:r>
        <w:rPr>
          <w:rFonts w:hint="eastAsia" w:ascii="宋体" w:hAnsi="宋体" w:eastAsia="宋体" w:cs="宋体"/>
        </w:rPr>
        <w:t>℃）：</w:t>
      </w:r>
      <w:bookmarkStart w:id="156" w:name="_Hlk180762898"/>
      <w:r>
        <w:rPr>
          <w:rFonts w:hint="eastAsia" w:ascii="宋体" w:hAnsi="宋体" w:eastAsia="宋体" w:cs="宋体"/>
        </w:rPr>
        <w:t>水解 DT</w:t>
      </w:r>
      <w:r>
        <w:rPr>
          <w:rFonts w:hint="eastAsia" w:ascii="宋体" w:hAnsi="宋体" w:eastAsia="宋体" w:cs="宋体"/>
          <w:vertAlign w:val="subscript"/>
        </w:rPr>
        <w:t>50</w:t>
      </w:r>
      <w:r>
        <w:rPr>
          <w:rFonts w:hint="eastAsia" w:ascii="宋体" w:hAnsi="宋体" w:eastAsia="宋体" w:cs="宋体"/>
        </w:rPr>
        <w:t xml:space="preserve"> 24.1</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4）</w:t>
      </w:r>
      <w:bookmarkEnd w:id="155"/>
      <w:r>
        <w:rPr>
          <w:rFonts w:hint="eastAsia" w:ascii="宋体" w:hAnsi="宋体" w:eastAsia="宋体" w:cs="宋体"/>
        </w:rPr>
        <w:t>、25.3</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5）、14.9</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7）、0.3</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9）</w:t>
      </w:r>
      <w:bookmarkEnd w:id="156"/>
      <w:r>
        <w:rPr>
          <w:rFonts w:hint="eastAsia" w:ascii="宋体" w:hAnsi="宋体" w:cs="宋体"/>
          <w:szCs w:val="21"/>
        </w:rPr>
        <w:t>。</w:t>
      </w:r>
      <w:bookmarkEnd w:id="150"/>
    </w:p>
    <w:p w14:paraId="7AA001B6">
      <w:pPr>
        <w:pStyle w:val="28"/>
        <w:widowControl/>
        <w:numPr>
          <w:ilvl w:val="1"/>
          <w:numId w:val="19"/>
        </w:numPr>
        <w:tabs>
          <w:tab w:val="left" w:pos="360"/>
        </w:tabs>
        <w:wordWrap w:val="0"/>
        <w:overflowPunct w:val="0"/>
        <w:autoSpaceDE w:val="0"/>
        <w:spacing w:before="312" w:beforeLines="100" w:after="312" w:afterLines="100"/>
        <w:ind w:left="420" w:leftChars="200"/>
        <w:outlineLvl w:val="1"/>
        <w:rPr>
          <w:rFonts w:hint="eastAsia" w:ascii="黑体" w:hAnsi="黑体" w:eastAsia="黑体" w:cs="黑体"/>
          <w:sz w:val="21"/>
          <w:szCs w:val="21"/>
        </w:rPr>
      </w:pPr>
      <w:r>
        <w:rPr>
          <w:rFonts w:hint="eastAsia" w:ascii="黑体" w:hAnsi="黑体" w:eastAsia="黑体" w:cs="黑体"/>
          <w:sz w:val="21"/>
          <w:szCs w:val="21"/>
          <w:lang w:eastAsia="zh-CN"/>
        </w:rPr>
        <w:t>解草酯</w:t>
      </w:r>
    </w:p>
    <w:p w14:paraId="3A119BBA">
      <w:pPr>
        <w:pStyle w:val="21"/>
        <w:tabs>
          <w:tab w:val="center" w:pos="0"/>
          <w:tab w:val="clear" w:pos="4201"/>
          <w:tab w:val="clear" w:pos="9298"/>
        </w:tabs>
        <w:rPr>
          <w:rFonts w:hint="eastAsia"/>
          <w:szCs w:val="21"/>
        </w:rPr>
      </w:pPr>
      <w:r>
        <w:rPr>
          <w:rFonts w:hint="eastAsia"/>
          <w:szCs w:val="21"/>
        </w:rPr>
        <w:t>解草酯的其他名称、结构式和基本物化参数如下：</w:t>
      </w:r>
    </w:p>
    <w:p w14:paraId="346A7143">
      <w:pPr>
        <w:pStyle w:val="21"/>
        <w:ind w:left="420" w:firstLine="0" w:firstLineChars="0"/>
        <w:rPr>
          <w:rFonts w:hint="eastAsia" w:hAnsi="宋体" w:cs="Arial"/>
          <w:szCs w:val="21"/>
        </w:rPr>
      </w:pPr>
      <w:r>
        <w:rPr>
          <w:rFonts w:ascii="Times New Roman"/>
          <w:spacing w:val="-60"/>
          <w:szCs w:val="21"/>
        </w:rPr>
        <w:t>—</w:t>
      </w:r>
      <w:r>
        <w:rPr>
          <w:rFonts w:ascii="Times New Roman"/>
          <w:szCs w:val="21"/>
        </w:rPr>
        <w:t>—</w:t>
      </w:r>
      <w:r>
        <w:rPr>
          <w:rFonts w:hAnsi="宋体" w:cs="Arial"/>
          <w:szCs w:val="21"/>
        </w:rPr>
        <w:t>ISO</w:t>
      </w:r>
      <w:r>
        <w:rPr>
          <w:rFonts w:hint="eastAsia" w:hAnsi="宋体" w:cs="Arial"/>
          <w:szCs w:val="21"/>
        </w:rPr>
        <w:t>通用名称：</w:t>
      </w:r>
      <w:r>
        <w:rPr>
          <w:rFonts w:hAnsi="宋体" w:cs="Arial"/>
          <w:szCs w:val="21"/>
        </w:rPr>
        <w:t>cloquintocet-mexyl</w:t>
      </w:r>
      <w:r>
        <w:rPr>
          <w:rFonts w:hint="eastAsia" w:hAnsi="宋体" w:cs="Arial"/>
          <w:szCs w:val="21"/>
        </w:rPr>
        <w:t>；</w:t>
      </w:r>
    </w:p>
    <w:p w14:paraId="6EB30458">
      <w:pPr>
        <w:pStyle w:val="21"/>
        <w:ind w:left="420" w:firstLine="0" w:firstLineChars="0"/>
        <w:rPr>
          <w:rFonts w:hint="eastAsia" w:hAnsi="宋体" w:cs="Arial"/>
          <w:szCs w:val="21"/>
        </w:rPr>
      </w:pPr>
      <w:r>
        <w:rPr>
          <w:rFonts w:ascii="Times New Roman"/>
          <w:spacing w:val="-60"/>
          <w:szCs w:val="21"/>
        </w:rPr>
        <w:t>—</w:t>
      </w:r>
      <w:r>
        <w:rPr>
          <w:rFonts w:ascii="Times New Roman"/>
          <w:szCs w:val="21"/>
        </w:rPr>
        <w:t>—</w:t>
      </w:r>
      <w:r>
        <w:rPr>
          <w:rFonts w:hint="eastAsia" w:hAnsi="宋体" w:cs="Arial"/>
          <w:szCs w:val="21"/>
        </w:rPr>
        <w:t>化学名称：1-甲基己基(5-氯-8-喹啉氧基)乙酸酯；</w:t>
      </w:r>
    </w:p>
    <w:p w14:paraId="3DBBED79">
      <w:pPr>
        <w:pStyle w:val="21"/>
        <w:ind w:left="420" w:firstLine="0" w:firstLineChars="0"/>
        <w:rPr>
          <w:rFonts w:hint="eastAsia" w:hAnsi="宋体" w:cs="Arial"/>
          <w:iCs/>
          <w:szCs w:val="21"/>
        </w:rPr>
      </w:pPr>
      <w:r>
        <w:rPr>
          <w:rFonts w:ascii="Times New Roman"/>
          <w:spacing w:val="-60"/>
          <w:szCs w:val="21"/>
        </w:rPr>
        <w:t>—</w:t>
      </w:r>
      <w:r>
        <w:rPr>
          <w:rFonts w:ascii="Times New Roman"/>
          <w:szCs w:val="21"/>
        </w:rPr>
        <w:t>—</w:t>
      </w:r>
      <w:r>
        <w:rPr>
          <w:rFonts w:hAnsi="宋体" w:cs="Arial"/>
          <w:iCs/>
          <w:szCs w:val="21"/>
        </w:rPr>
        <w:t>CAS</w:t>
      </w:r>
      <w:r>
        <w:rPr>
          <w:rFonts w:hint="eastAsia" w:hAnsi="宋体" w:cs="Arial"/>
          <w:iCs/>
          <w:szCs w:val="21"/>
        </w:rPr>
        <w:t>登录号：</w:t>
      </w:r>
      <w:r>
        <w:rPr>
          <w:rFonts w:hAnsi="宋体" w:cs="Arial"/>
          <w:iCs/>
          <w:szCs w:val="21"/>
        </w:rPr>
        <w:t>99607-70-2</w:t>
      </w:r>
      <w:r>
        <w:rPr>
          <w:rFonts w:hint="eastAsia" w:hAnsi="宋体" w:cs="Arial"/>
          <w:iCs/>
          <w:szCs w:val="21"/>
        </w:rPr>
        <w:t>；</w:t>
      </w:r>
    </w:p>
    <w:p w14:paraId="099CE947">
      <w:pPr>
        <w:pStyle w:val="21"/>
        <w:ind w:left="420" w:firstLine="0" w:firstLineChars="0"/>
        <w:rPr>
          <w:rFonts w:hAnsi="宋体" w:cs="Arial"/>
          <w:szCs w:val="21"/>
        </w:rPr>
      </w:pPr>
      <w:r>
        <w:rPr>
          <w:rFonts w:ascii="Times New Roman"/>
          <w:spacing w:val="-60"/>
          <w:szCs w:val="21"/>
        </w:rPr>
        <w:t>—</w:t>
      </w:r>
      <w:r>
        <w:rPr>
          <w:rFonts w:ascii="Times New Roman"/>
          <w:szCs w:val="21"/>
        </w:rPr>
        <w:t>—</w:t>
      </w:r>
      <w:r>
        <w:rPr>
          <w:rFonts w:hint="eastAsia" w:hAnsi="宋体" w:cs="Arial"/>
          <w:szCs w:val="21"/>
        </w:rPr>
        <w:t>结构式：</w:t>
      </w:r>
    </w:p>
    <w:p w14:paraId="7CF82FF2">
      <w:pPr>
        <w:spacing w:line="360" w:lineRule="auto"/>
        <w:jc w:val="center"/>
        <w:rPr>
          <w:rFonts w:ascii="宋体" w:hAnsi="宋体" w:cs="Arial"/>
          <w:szCs w:val="21"/>
        </w:rPr>
      </w:pPr>
      <w:r>
        <w:rPr>
          <w:rFonts w:ascii="宋体" w:hAnsi="宋体" w:cs="Arial"/>
          <w:szCs w:val="21"/>
        </w:rPr>
        <w:drawing>
          <wp:inline distT="0" distB="0" distL="114300" distR="114300">
            <wp:extent cx="1783080" cy="800735"/>
            <wp:effectExtent l="0" t="0" r="7620" b="12065"/>
            <wp:docPr id="7" name="图片 7" descr="99607-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99607-70-2"/>
                    <pic:cNvPicPr>
                      <a:picLocks noChangeAspect="1"/>
                    </pic:cNvPicPr>
                  </pic:nvPicPr>
                  <pic:blipFill>
                    <a:blip r:embed="rId20"/>
                    <a:srcRect t="27311" r="901" b="28185"/>
                    <a:stretch>
                      <a:fillRect/>
                    </a:stretch>
                  </pic:blipFill>
                  <pic:spPr>
                    <a:xfrm>
                      <a:off x="0" y="0"/>
                      <a:ext cx="1783080" cy="800735"/>
                    </a:xfrm>
                    <a:prstGeom prst="rect">
                      <a:avLst/>
                    </a:prstGeom>
                  </pic:spPr>
                </pic:pic>
              </a:graphicData>
            </a:graphic>
          </wp:inline>
        </w:drawing>
      </w:r>
    </w:p>
    <w:p w14:paraId="13CC69AC">
      <w:pPr>
        <w:ind w:left="420" w:leftChars="200"/>
        <w:rPr>
          <w:rFonts w:hint="eastAsia" w:ascii="宋体" w:hAnsi="宋体" w:cs="Arial"/>
          <w:color w:val="333333"/>
          <w:szCs w:val="21"/>
          <w:shd w:val="clear" w:color="auto" w:fill="FFFFFF"/>
        </w:rPr>
      </w:pPr>
      <w:r>
        <w:rPr>
          <w:spacing w:val="-60"/>
          <w:szCs w:val="21"/>
        </w:rPr>
        <w:t>—</w:t>
      </w:r>
      <w:r>
        <w:rPr>
          <w:szCs w:val="21"/>
        </w:rPr>
        <w:t>—</w:t>
      </w:r>
      <w:r>
        <w:rPr>
          <w:rFonts w:hint="eastAsia"/>
          <w:szCs w:val="21"/>
        </w:rPr>
        <w:t>分子</w:t>
      </w:r>
      <w:r>
        <w:rPr>
          <w:rFonts w:hint="eastAsia" w:ascii="宋体" w:hAnsi="宋体" w:cs="Arial"/>
          <w:szCs w:val="21"/>
        </w:rPr>
        <w:t>式：</w:t>
      </w:r>
      <w:r>
        <w:rPr>
          <w:rFonts w:hint="eastAsia" w:ascii="宋体" w:hAnsi="宋体" w:cs="宋体"/>
          <w:color w:val="000000"/>
          <w:szCs w:val="21"/>
        </w:rPr>
        <w:t>C</w:t>
      </w:r>
      <w:r>
        <w:rPr>
          <w:rFonts w:hint="eastAsia" w:ascii="宋体" w:hAnsi="宋体" w:cs="宋体"/>
          <w:color w:val="000000"/>
          <w:szCs w:val="21"/>
          <w:vertAlign w:val="subscript"/>
        </w:rPr>
        <w:t>18</w:t>
      </w:r>
      <w:r>
        <w:rPr>
          <w:rFonts w:hint="eastAsia" w:ascii="宋体" w:hAnsi="宋体" w:cs="宋体"/>
          <w:color w:val="000000"/>
          <w:szCs w:val="21"/>
        </w:rPr>
        <w:t>H</w:t>
      </w:r>
      <w:r>
        <w:rPr>
          <w:rFonts w:hint="eastAsia" w:ascii="宋体" w:hAnsi="宋体" w:cs="宋体"/>
          <w:color w:val="000000"/>
          <w:szCs w:val="21"/>
          <w:vertAlign w:val="subscript"/>
        </w:rPr>
        <w:t>22</w:t>
      </w:r>
      <w:r>
        <w:rPr>
          <w:rFonts w:hint="eastAsia" w:ascii="宋体" w:hAnsi="宋体" w:cs="宋体"/>
          <w:color w:val="000000"/>
          <w:szCs w:val="21"/>
        </w:rPr>
        <w:t>ClNO</w:t>
      </w:r>
      <w:r>
        <w:rPr>
          <w:rFonts w:hint="eastAsia" w:ascii="宋体" w:hAnsi="宋体" w:cs="宋体"/>
          <w:color w:val="000000"/>
          <w:szCs w:val="21"/>
          <w:vertAlign w:val="subscript"/>
        </w:rPr>
        <w:t>3</w:t>
      </w:r>
      <w:r>
        <w:rPr>
          <w:rFonts w:hint="eastAsia" w:ascii="宋体" w:hAnsi="宋体" w:cs="Arial"/>
          <w:szCs w:val="21"/>
        </w:rPr>
        <w:t>；</w:t>
      </w:r>
    </w:p>
    <w:p w14:paraId="55DE8398">
      <w:pPr>
        <w:ind w:left="420" w:leftChars="200"/>
        <w:rPr>
          <w:rFonts w:hint="eastAsia" w:ascii="宋体" w:hAnsi="宋体" w:cs="Arial"/>
          <w:szCs w:val="21"/>
        </w:rPr>
      </w:pPr>
      <w:r>
        <w:rPr>
          <w:spacing w:val="-60"/>
          <w:szCs w:val="21"/>
        </w:rPr>
        <w:t>—</w:t>
      </w:r>
      <w:r>
        <w:rPr>
          <w:szCs w:val="21"/>
        </w:rPr>
        <w:t>—</w:t>
      </w:r>
      <w:r>
        <w:rPr>
          <w:rFonts w:hint="eastAsia" w:ascii="宋体" w:hAnsi="宋体" w:cs="Arial"/>
          <w:szCs w:val="21"/>
        </w:rPr>
        <w:t>相对分子质量：335.8；</w:t>
      </w:r>
      <w:bookmarkStart w:id="157" w:name="_GoBack"/>
      <w:bookmarkEnd w:id="157"/>
    </w:p>
    <w:p w14:paraId="41EF90E1">
      <w:pPr>
        <w:ind w:left="420" w:leftChars="200"/>
        <w:rPr>
          <w:rFonts w:hint="eastAsia" w:ascii="宋体" w:hAnsi="宋体" w:eastAsia="宋体" w:cs="宋体"/>
          <w:szCs w:val="21"/>
          <w:lang w:val="en-US" w:eastAsia="zh-CN"/>
        </w:rPr>
      </w:pPr>
      <w:r>
        <w:rPr>
          <w:spacing w:val="-60"/>
          <w:szCs w:val="21"/>
        </w:rPr>
        <w:t>—</w:t>
      </w:r>
      <w:r>
        <w:rPr>
          <w:szCs w:val="21"/>
        </w:rPr>
        <w:t>—</w:t>
      </w:r>
      <w:r>
        <w:rPr>
          <w:rFonts w:hint="eastAsia" w:hAnsi="宋体" w:cs="Arial"/>
          <w:szCs w:val="21"/>
        </w:rPr>
        <w:t>生物</w:t>
      </w:r>
      <w:r>
        <w:rPr>
          <w:rFonts w:hint="eastAsia" w:ascii="宋体" w:hAnsi="宋体" w:cs="宋体"/>
          <w:szCs w:val="21"/>
        </w:rPr>
        <w:t>活性：解毒</w:t>
      </w:r>
      <w:r>
        <w:rPr>
          <w:rFonts w:hint="eastAsia" w:ascii="宋体" w:hAnsi="宋体" w:cs="宋体"/>
          <w:szCs w:val="21"/>
          <w:lang w:eastAsia="zh-CN"/>
        </w:rPr>
        <w:t>。</w:t>
      </w:r>
    </w:p>
    <w:bookmarkEnd w:id="151"/>
    <w:p w14:paraId="5B5C8486">
      <w:pPr>
        <w:pStyle w:val="21"/>
        <w:ind w:firstLine="0" w:firstLineChars="0"/>
        <w:jc w:val="center"/>
        <w:rPr>
          <w:rFonts w:hint="eastAsia" w:hAnsi="宋体"/>
        </w:rPr>
      </w:pPr>
      <w:r>
        <w:t>_________________________________</w:t>
      </w:r>
    </w:p>
    <w:sectPr>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96892">
    <w:pPr>
      <w:pStyle w:val="74"/>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26C1D">
    <w:pPr>
      <w:pStyle w:val="95"/>
    </w:pPr>
    <w:r>
      <w:fldChar w:fldCharType="begin"/>
    </w:r>
    <w:r>
      <w:instrText xml:space="preserve"> PAGE  \* MERGEFORMAT </w:instrText>
    </w:r>
    <w:r>
      <w:fldChar w:fldCharType="separate"/>
    </w:r>
    <w: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67105">
    <w:pPr>
      <w:pStyle w:val="93"/>
    </w:pPr>
    <w:r>
      <w:rPr>
        <w:rFonts w:hint="eastAsia"/>
      </w:rPr>
      <w:t>NY</w:t>
    </w:r>
    <w:r>
      <w:t>/T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5E0E2">
    <w:pPr>
      <w:pStyle w:val="81"/>
    </w:pPr>
    <w:r>
      <w:t>NY/T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1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7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0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1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1"/>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62"/>
      <w:suff w:val="nothing"/>
      <w:lvlText w:val="%1.%2.%3.%4　"/>
      <w:lvlJc w:val="left"/>
      <w:pPr>
        <w:ind w:left="0" w:firstLine="0"/>
      </w:pPr>
      <w:rPr>
        <w:rFonts w:hint="eastAsia" w:ascii="黑体" w:hAnsi="Times New Roman" w:eastAsia="黑体"/>
        <w:b w:val="0"/>
        <w:i w:val="0"/>
        <w:sz w:val="21"/>
      </w:rPr>
    </w:lvl>
    <w:lvl w:ilvl="4" w:tentative="0">
      <w:start w:val="1"/>
      <w:numFmt w:val="decimal"/>
      <w:pStyle w:val="73"/>
      <w:suff w:val="nothing"/>
      <w:lvlText w:val="%1.%2.%3.%4.%5　"/>
      <w:lvlJc w:val="left"/>
      <w:pPr>
        <w:ind w:left="0" w:firstLine="0"/>
      </w:pPr>
      <w:rPr>
        <w:rFonts w:hint="eastAsia" w:ascii="黑体" w:hAnsi="Times New Roman" w:eastAsia="黑体"/>
        <w:b w:val="0"/>
        <w:i w:val="0"/>
        <w:sz w:val="21"/>
      </w:rPr>
    </w:lvl>
    <w:lvl w:ilvl="5" w:tentative="0">
      <w:start w:val="1"/>
      <w:numFmt w:val="decimal"/>
      <w:pStyle w:val="7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19"/>
      <w:suff w:val="space"/>
      <w:lvlText w:val="%1"/>
      <w:lvlJc w:val="left"/>
      <w:pPr>
        <w:ind w:left="623" w:hanging="425"/>
      </w:pPr>
      <w:rPr>
        <w:rFonts w:hint="eastAsia"/>
      </w:rPr>
    </w:lvl>
    <w:lvl w:ilvl="1" w:tentative="0">
      <w:start w:val="1"/>
      <w:numFmt w:val="decimal"/>
      <w:pStyle w:val="11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84"/>
      <w:suff w:val="nothing"/>
      <w:lvlText w:val="%1——"/>
      <w:lvlJc w:val="left"/>
      <w:pPr>
        <w:ind w:left="833" w:hanging="408"/>
      </w:pPr>
      <w:rPr>
        <w:rFonts w:hint="eastAsia"/>
      </w:rPr>
    </w:lvl>
    <w:lvl w:ilvl="1" w:tentative="0">
      <w:start w:val="1"/>
      <w:numFmt w:val="bullet"/>
      <w:pStyle w:val="100"/>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2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8"/>
      <w:lvlText w:val="%2)"/>
      <w:lvlJc w:val="left"/>
      <w:pPr>
        <w:tabs>
          <w:tab w:val="left" w:pos="1260"/>
        </w:tabs>
        <w:ind w:left="1259" w:hanging="419"/>
      </w:pPr>
      <w:rPr>
        <w:rFonts w:hint="eastAsia"/>
      </w:rPr>
    </w:lvl>
    <w:lvl w:ilvl="2" w:tentative="0">
      <w:start w:val="1"/>
      <w:numFmt w:val="decimal"/>
      <w:pStyle w:val="4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1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08"/>
      <w:suff w:val="nothing"/>
      <w:lvlText w:val="图%1　"/>
      <w:lvlJc w:val="left"/>
      <w:pPr>
        <w:ind w:left="3465" w:firstLine="0"/>
      </w:pPr>
      <w:rPr>
        <w:rFonts w:hint="eastAsia" w:ascii="黑体" w:hAnsi="Times New Roman" w:eastAsia="黑体"/>
        <w:b w:val="0"/>
        <w:i w:val="0"/>
        <w:sz w:val="21"/>
      </w:rPr>
    </w:lvl>
    <w:lvl w:ilvl="1" w:tentative="0">
      <w:start w:val="1"/>
      <w:numFmt w:val="decimal"/>
      <w:suff w:val="nothing"/>
      <w:lvlText w:val="%1%2　"/>
      <w:lvlJc w:val="left"/>
      <w:pPr>
        <w:ind w:left="3150" w:firstLine="0"/>
      </w:pPr>
      <w:rPr>
        <w:rFonts w:hint="default" w:ascii="Times New Roman" w:hAnsi="Times New Roman" w:eastAsia="黑体"/>
        <w:b w:val="0"/>
        <w:i w:val="0"/>
        <w:sz w:val="21"/>
      </w:rPr>
    </w:lvl>
    <w:lvl w:ilvl="2" w:tentative="0">
      <w:start w:val="1"/>
      <w:numFmt w:val="decimal"/>
      <w:suff w:val="nothing"/>
      <w:lvlText w:val="%1%2.%3　"/>
      <w:lvlJc w:val="left"/>
      <w:pPr>
        <w:ind w:left="3150" w:firstLine="0"/>
      </w:pPr>
      <w:rPr>
        <w:rFonts w:hint="default" w:ascii="Times New Roman" w:hAnsi="Times New Roman" w:eastAsia="黑体"/>
        <w:b w:val="0"/>
        <w:i w:val="0"/>
        <w:sz w:val="21"/>
      </w:rPr>
    </w:lvl>
    <w:lvl w:ilvl="3" w:tentative="0">
      <w:start w:val="1"/>
      <w:numFmt w:val="decimal"/>
      <w:suff w:val="nothing"/>
      <w:lvlText w:val="%1%2.%3.%4　"/>
      <w:lvlJc w:val="left"/>
      <w:pPr>
        <w:ind w:left="3150" w:firstLine="0"/>
      </w:pPr>
      <w:rPr>
        <w:rFonts w:hint="default" w:ascii="Times New Roman" w:hAnsi="Times New Roman" w:eastAsia="黑体"/>
        <w:b w:val="0"/>
        <w:i w:val="0"/>
        <w:sz w:val="21"/>
      </w:rPr>
    </w:lvl>
    <w:lvl w:ilvl="4" w:tentative="0">
      <w:start w:val="1"/>
      <w:numFmt w:val="decimal"/>
      <w:suff w:val="nothing"/>
      <w:lvlText w:val="%1%2.%3.%4.%5　"/>
      <w:lvlJc w:val="left"/>
      <w:pPr>
        <w:ind w:left="3150" w:firstLine="0"/>
      </w:pPr>
      <w:rPr>
        <w:rFonts w:hint="default" w:ascii="Times New Roman" w:hAnsi="Times New Roman" w:eastAsia="黑体"/>
        <w:b w:val="0"/>
        <w:i w:val="0"/>
        <w:sz w:val="21"/>
      </w:rPr>
    </w:lvl>
    <w:lvl w:ilvl="5" w:tentative="0">
      <w:start w:val="1"/>
      <w:numFmt w:val="decimal"/>
      <w:suff w:val="nothing"/>
      <w:lvlText w:val="%1%2.%3.%4.%5.%6　"/>
      <w:lvlJc w:val="left"/>
      <w:pPr>
        <w:ind w:left="3150" w:firstLine="0"/>
      </w:pPr>
      <w:rPr>
        <w:rFonts w:hint="default" w:ascii="Times New Roman" w:hAnsi="Times New Roman" w:eastAsia="黑体"/>
        <w:b w:val="0"/>
        <w:i w:val="0"/>
        <w:sz w:val="21"/>
      </w:rPr>
    </w:lvl>
    <w:lvl w:ilvl="6" w:tentative="0">
      <w:start w:val="1"/>
      <w:numFmt w:val="decimal"/>
      <w:suff w:val="nothing"/>
      <w:lvlText w:val="%1%2.%3.%4.%5.%6.%7　"/>
      <w:lvlJc w:val="left"/>
      <w:pPr>
        <w:ind w:left="3150" w:firstLine="0"/>
      </w:pPr>
      <w:rPr>
        <w:rFonts w:hint="default" w:ascii="Times New Roman" w:hAnsi="Times New Roman" w:eastAsia="黑体"/>
        <w:b w:val="0"/>
        <w:i w:val="0"/>
        <w:sz w:val="21"/>
      </w:rPr>
    </w:lvl>
    <w:lvl w:ilvl="7" w:tentative="0">
      <w:start w:val="1"/>
      <w:numFmt w:val="decimal"/>
      <w:lvlText w:val="%1.%2.%3.%4.%5.%6.%7.%8"/>
      <w:lvlJc w:val="left"/>
      <w:pPr>
        <w:tabs>
          <w:tab w:val="left" w:pos="7501"/>
        </w:tabs>
        <w:ind w:left="7119" w:hanging="1418"/>
      </w:pPr>
      <w:rPr>
        <w:rFonts w:hint="eastAsia"/>
      </w:rPr>
    </w:lvl>
    <w:lvl w:ilvl="8" w:tentative="0">
      <w:start w:val="1"/>
      <w:numFmt w:val="decimal"/>
      <w:lvlText w:val="%1.%2.%3.%4.%5.%6.%7.%8.%9"/>
      <w:lvlJc w:val="left"/>
      <w:pPr>
        <w:tabs>
          <w:tab w:val="left" w:pos="7927"/>
        </w:tabs>
        <w:ind w:left="7827" w:hanging="1700"/>
      </w:pPr>
      <w:rPr>
        <w:rFonts w:hint="eastAsia"/>
      </w:rPr>
    </w:lvl>
  </w:abstractNum>
  <w:abstractNum w:abstractNumId="12">
    <w:nsid w:val="60B55DC2"/>
    <w:multiLevelType w:val="multilevel"/>
    <w:tmpl w:val="60B55DC2"/>
    <w:lvl w:ilvl="0" w:tentative="0">
      <w:start w:val="1"/>
      <w:numFmt w:val="upperLetter"/>
      <w:pStyle w:val="83"/>
      <w:lvlText w:val="%1"/>
      <w:lvlJc w:val="left"/>
      <w:pPr>
        <w:tabs>
          <w:tab w:val="left" w:pos="0"/>
        </w:tabs>
        <w:ind w:left="0" w:hanging="425"/>
      </w:pPr>
      <w:rPr>
        <w:rFonts w:hint="eastAsia"/>
      </w:rPr>
    </w:lvl>
    <w:lvl w:ilvl="1" w:tentative="0">
      <w:start w:val="1"/>
      <w:numFmt w:val="decimal"/>
      <w:pStyle w:val="1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1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1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23"/>
      <w:suff w:val="nothing"/>
      <w:lvlText w:val="%1.%2　"/>
      <w:lvlJc w:val="left"/>
      <w:pPr>
        <w:ind w:left="1135" w:firstLine="0"/>
      </w:pPr>
      <w:rPr>
        <w:rFonts w:hint="eastAsia" w:ascii="黑体" w:hAnsi="Times New Roman" w:eastAsia="黑体"/>
        <w:b w:val="0"/>
        <w:i w:val="0"/>
        <w:snapToGrid/>
        <w:spacing w:val="0"/>
        <w:w w:val="100"/>
        <w:kern w:val="21"/>
        <w:sz w:val="21"/>
      </w:rPr>
    </w:lvl>
    <w:lvl w:ilvl="2" w:tentative="0">
      <w:start w:val="1"/>
      <w:numFmt w:val="decimal"/>
      <w:pStyle w:val="122"/>
      <w:suff w:val="nothing"/>
      <w:lvlText w:val="%1.%2.%3　"/>
      <w:lvlJc w:val="left"/>
      <w:pPr>
        <w:ind w:left="0" w:firstLine="0"/>
      </w:pPr>
      <w:rPr>
        <w:rFonts w:hint="eastAsia" w:ascii="黑体" w:hAnsi="Times New Roman" w:eastAsia="黑体"/>
        <w:b w:val="0"/>
        <w:i w:val="0"/>
        <w:sz w:val="21"/>
      </w:rPr>
    </w:lvl>
    <w:lvl w:ilvl="3" w:tentative="0">
      <w:start w:val="1"/>
      <w:numFmt w:val="decimal"/>
      <w:pStyle w:val="53"/>
      <w:suff w:val="nothing"/>
      <w:lvlText w:val="%1.%2.%3.%4　"/>
      <w:lvlJc w:val="left"/>
      <w:pPr>
        <w:ind w:left="0" w:firstLine="0"/>
      </w:pPr>
      <w:rPr>
        <w:rFonts w:hint="eastAsia" w:ascii="黑体" w:hAnsi="Times New Roman" w:eastAsia="黑体"/>
        <w:b w:val="0"/>
        <w:i w:val="0"/>
        <w:sz w:val="21"/>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pStyle w:val="71"/>
      <w:suff w:val="nothing"/>
      <w:lvlText w:val="%1.%2.%3.%4.%5.%6　"/>
      <w:lvlJc w:val="left"/>
      <w:pPr>
        <w:ind w:left="0" w:firstLine="0"/>
      </w:pPr>
      <w:rPr>
        <w:rFonts w:hint="eastAsia" w:ascii="黑体" w:hAnsi="Times New Roman" w:eastAsia="黑体"/>
        <w:b w:val="0"/>
        <w:i w:val="0"/>
        <w:sz w:val="21"/>
      </w:rPr>
    </w:lvl>
    <w:lvl w:ilvl="6" w:tentative="0">
      <w:start w:val="1"/>
      <w:numFmt w:val="decimal"/>
      <w:pStyle w:val="7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637C31D"/>
    <w:multiLevelType w:val="multilevel"/>
    <w:tmpl w:val="6637C31D"/>
    <w:lvl w:ilvl="0" w:tentative="0">
      <w:start w:val="1"/>
      <w:numFmt w:val="upperLetter"/>
      <w:suff w:val="nothing"/>
      <w:lvlText w:val="附　录　%1"/>
      <w:lvlJc w:val="left"/>
      <w:pPr>
        <w:ind w:left="0" w:firstLine="0"/>
      </w:pPr>
      <w:rPr>
        <w:rFonts w:hint="eastAsia" w:ascii="黑体" w:hAnsi="Times New Roman" w:eastAsia="黑体" w:cs="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cs="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cs="黑体"/>
        <w:b w:val="0"/>
        <w:i w:val="0"/>
        <w:sz w:val="21"/>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6">
    <w:nsid w:val="6D6C07CD"/>
    <w:multiLevelType w:val="multilevel"/>
    <w:tmpl w:val="6D6C07CD"/>
    <w:lvl w:ilvl="0" w:tentative="0">
      <w:start w:val="1"/>
      <w:numFmt w:val="lowerLetter"/>
      <w:pStyle w:val="70"/>
      <w:lvlText w:val="%1)"/>
      <w:lvlJc w:val="left"/>
      <w:pPr>
        <w:tabs>
          <w:tab w:val="left" w:pos="839"/>
        </w:tabs>
        <w:ind w:left="839" w:hanging="419"/>
      </w:pPr>
      <w:rPr>
        <w:rFonts w:hint="eastAsia" w:ascii="宋体" w:eastAsia="宋体"/>
        <w:b w:val="0"/>
        <w:i w:val="0"/>
        <w:sz w:val="21"/>
      </w:rPr>
    </w:lvl>
    <w:lvl w:ilvl="1" w:tentative="0">
      <w:start w:val="1"/>
      <w:numFmt w:val="decimal"/>
      <w:pStyle w:val="13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8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1"/>
  </w:num>
  <w:num w:numId="4">
    <w:abstractNumId w:val="9"/>
  </w:num>
  <w:num w:numId="5">
    <w:abstractNumId w:val="14"/>
  </w:num>
  <w:num w:numId="6">
    <w:abstractNumId w:val="7"/>
  </w:num>
  <w:num w:numId="7">
    <w:abstractNumId w:val="16"/>
  </w:num>
  <w:num w:numId="8">
    <w:abstractNumId w:val="2"/>
  </w:num>
  <w:num w:numId="9">
    <w:abstractNumId w:val="12"/>
  </w:num>
  <w:num w:numId="10">
    <w:abstractNumId w:val="17"/>
  </w:num>
  <w:num w:numId="11">
    <w:abstractNumId w:val="3"/>
  </w:num>
  <w:num w:numId="12">
    <w:abstractNumId w:val="10"/>
  </w:num>
  <w:num w:numId="13">
    <w:abstractNumId w:val="11"/>
  </w:num>
  <w:num w:numId="14">
    <w:abstractNumId w:val="6"/>
  </w:num>
  <w:num w:numId="15">
    <w:abstractNumId w:val="0"/>
  </w:num>
  <w:num w:numId="16">
    <w:abstractNumId w:val="13"/>
  </w:num>
  <w:num w:numId="17">
    <w:abstractNumId w:val="4"/>
  </w:num>
  <w:num w:numId="18">
    <w:abstractNumId w:val="5"/>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0" w:hash="mB6OQ+nOG58zzUtyteGLcR/8CjA=" w:salt="vbopH9LCa/grsl0+Kh46fA=="/>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ZmUxYWIwYjIwZThiZjRiNTZjMzAxYmQzNzcwNGIifQ=="/>
  </w:docVars>
  <w:rsids>
    <w:rsidRoot w:val="00035925"/>
    <w:rsid w:val="00000244"/>
    <w:rsid w:val="0000185F"/>
    <w:rsid w:val="0000273A"/>
    <w:rsid w:val="00002759"/>
    <w:rsid w:val="0000586F"/>
    <w:rsid w:val="0001180D"/>
    <w:rsid w:val="00011E30"/>
    <w:rsid w:val="00011F43"/>
    <w:rsid w:val="00012945"/>
    <w:rsid w:val="00013D86"/>
    <w:rsid w:val="00013E02"/>
    <w:rsid w:val="00014377"/>
    <w:rsid w:val="00014D18"/>
    <w:rsid w:val="00020C0D"/>
    <w:rsid w:val="0002143C"/>
    <w:rsid w:val="00022ED8"/>
    <w:rsid w:val="00023870"/>
    <w:rsid w:val="00025A65"/>
    <w:rsid w:val="00025D63"/>
    <w:rsid w:val="00026C31"/>
    <w:rsid w:val="00027280"/>
    <w:rsid w:val="000320A7"/>
    <w:rsid w:val="00035925"/>
    <w:rsid w:val="000368E9"/>
    <w:rsid w:val="00040899"/>
    <w:rsid w:val="00041127"/>
    <w:rsid w:val="000417CF"/>
    <w:rsid w:val="000438DD"/>
    <w:rsid w:val="00044C73"/>
    <w:rsid w:val="00046595"/>
    <w:rsid w:val="000465EE"/>
    <w:rsid w:val="00054708"/>
    <w:rsid w:val="0005604F"/>
    <w:rsid w:val="000660EC"/>
    <w:rsid w:val="00066D54"/>
    <w:rsid w:val="00066E36"/>
    <w:rsid w:val="00067274"/>
    <w:rsid w:val="000672F2"/>
    <w:rsid w:val="00067CDF"/>
    <w:rsid w:val="00072EFD"/>
    <w:rsid w:val="00074987"/>
    <w:rsid w:val="00074FBE"/>
    <w:rsid w:val="00076BFA"/>
    <w:rsid w:val="00081AEE"/>
    <w:rsid w:val="00081E86"/>
    <w:rsid w:val="00082122"/>
    <w:rsid w:val="00083A09"/>
    <w:rsid w:val="0008550C"/>
    <w:rsid w:val="00085F59"/>
    <w:rsid w:val="00087B98"/>
    <w:rsid w:val="0009005E"/>
    <w:rsid w:val="00092210"/>
    <w:rsid w:val="00092857"/>
    <w:rsid w:val="00092B6D"/>
    <w:rsid w:val="00093A7F"/>
    <w:rsid w:val="0009729B"/>
    <w:rsid w:val="00097815"/>
    <w:rsid w:val="000A20A9"/>
    <w:rsid w:val="000A2325"/>
    <w:rsid w:val="000A3ED2"/>
    <w:rsid w:val="000A450E"/>
    <w:rsid w:val="000A48B1"/>
    <w:rsid w:val="000A7301"/>
    <w:rsid w:val="000B16FF"/>
    <w:rsid w:val="000B3143"/>
    <w:rsid w:val="000B3323"/>
    <w:rsid w:val="000B403E"/>
    <w:rsid w:val="000B6844"/>
    <w:rsid w:val="000B762A"/>
    <w:rsid w:val="000C36C2"/>
    <w:rsid w:val="000C6B05"/>
    <w:rsid w:val="000C6DD6"/>
    <w:rsid w:val="000C73D4"/>
    <w:rsid w:val="000C7B3E"/>
    <w:rsid w:val="000D00C2"/>
    <w:rsid w:val="000D3D4C"/>
    <w:rsid w:val="000D476F"/>
    <w:rsid w:val="000D4F51"/>
    <w:rsid w:val="000D718B"/>
    <w:rsid w:val="000E0C46"/>
    <w:rsid w:val="000E0E64"/>
    <w:rsid w:val="000E28BD"/>
    <w:rsid w:val="000E2C47"/>
    <w:rsid w:val="000E375C"/>
    <w:rsid w:val="000E387C"/>
    <w:rsid w:val="000F030C"/>
    <w:rsid w:val="000F0C10"/>
    <w:rsid w:val="000F0DE5"/>
    <w:rsid w:val="000F129C"/>
    <w:rsid w:val="000F152E"/>
    <w:rsid w:val="000F1C21"/>
    <w:rsid w:val="000F3469"/>
    <w:rsid w:val="000F4633"/>
    <w:rsid w:val="000F59D6"/>
    <w:rsid w:val="000F7644"/>
    <w:rsid w:val="001011A9"/>
    <w:rsid w:val="001033E2"/>
    <w:rsid w:val="001034C6"/>
    <w:rsid w:val="001035B5"/>
    <w:rsid w:val="00103977"/>
    <w:rsid w:val="00103C06"/>
    <w:rsid w:val="00104ECD"/>
    <w:rsid w:val="001053A2"/>
    <w:rsid w:val="001056DE"/>
    <w:rsid w:val="001068D3"/>
    <w:rsid w:val="001124C0"/>
    <w:rsid w:val="001127F7"/>
    <w:rsid w:val="00112DDE"/>
    <w:rsid w:val="001139D2"/>
    <w:rsid w:val="00115BF2"/>
    <w:rsid w:val="0012127D"/>
    <w:rsid w:val="00127D10"/>
    <w:rsid w:val="00130231"/>
    <w:rsid w:val="0013175F"/>
    <w:rsid w:val="001345C1"/>
    <w:rsid w:val="001355DB"/>
    <w:rsid w:val="00135896"/>
    <w:rsid w:val="001377CD"/>
    <w:rsid w:val="00140789"/>
    <w:rsid w:val="00142DC8"/>
    <w:rsid w:val="00146074"/>
    <w:rsid w:val="00146760"/>
    <w:rsid w:val="00146D4D"/>
    <w:rsid w:val="00147BAD"/>
    <w:rsid w:val="001512B4"/>
    <w:rsid w:val="0015163A"/>
    <w:rsid w:val="00152ABE"/>
    <w:rsid w:val="0015307B"/>
    <w:rsid w:val="00153B82"/>
    <w:rsid w:val="0015585D"/>
    <w:rsid w:val="00155AD5"/>
    <w:rsid w:val="00155BF0"/>
    <w:rsid w:val="001560CE"/>
    <w:rsid w:val="001567E9"/>
    <w:rsid w:val="001575DD"/>
    <w:rsid w:val="001620A5"/>
    <w:rsid w:val="00164E53"/>
    <w:rsid w:val="0016699D"/>
    <w:rsid w:val="00171ED9"/>
    <w:rsid w:val="00175159"/>
    <w:rsid w:val="00175581"/>
    <w:rsid w:val="00176208"/>
    <w:rsid w:val="001763A7"/>
    <w:rsid w:val="00180B1D"/>
    <w:rsid w:val="00181FCA"/>
    <w:rsid w:val="0018211B"/>
    <w:rsid w:val="00182EA1"/>
    <w:rsid w:val="001840D3"/>
    <w:rsid w:val="00184C66"/>
    <w:rsid w:val="001852D1"/>
    <w:rsid w:val="001854E9"/>
    <w:rsid w:val="00186EF0"/>
    <w:rsid w:val="001900F8"/>
    <w:rsid w:val="00191258"/>
    <w:rsid w:val="00192680"/>
    <w:rsid w:val="00193037"/>
    <w:rsid w:val="00193976"/>
    <w:rsid w:val="00193A2C"/>
    <w:rsid w:val="00194C65"/>
    <w:rsid w:val="0019734F"/>
    <w:rsid w:val="00197525"/>
    <w:rsid w:val="001A288E"/>
    <w:rsid w:val="001A5288"/>
    <w:rsid w:val="001A5708"/>
    <w:rsid w:val="001A5833"/>
    <w:rsid w:val="001A6BB7"/>
    <w:rsid w:val="001A7240"/>
    <w:rsid w:val="001A7B22"/>
    <w:rsid w:val="001B5C30"/>
    <w:rsid w:val="001B62E5"/>
    <w:rsid w:val="001B6DC2"/>
    <w:rsid w:val="001B7A4D"/>
    <w:rsid w:val="001C13EA"/>
    <w:rsid w:val="001C149C"/>
    <w:rsid w:val="001C1CD2"/>
    <w:rsid w:val="001C21AC"/>
    <w:rsid w:val="001C244E"/>
    <w:rsid w:val="001C2C91"/>
    <w:rsid w:val="001C47BA"/>
    <w:rsid w:val="001C59EA"/>
    <w:rsid w:val="001C6D98"/>
    <w:rsid w:val="001D04D6"/>
    <w:rsid w:val="001D279E"/>
    <w:rsid w:val="001D406C"/>
    <w:rsid w:val="001D41EE"/>
    <w:rsid w:val="001D642D"/>
    <w:rsid w:val="001D64DA"/>
    <w:rsid w:val="001E0380"/>
    <w:rsid w:val="001E13B1"/>
    <w:rsid w:val="001E1DBE"/>
    <w:rsid w:val="001E2ED4"/>
    <w:rsid w:val="001E3E20"/>
    <w:rsid w:val="001F3A19"/>
    <w:rsid w:val="00200C11"/>
    <w:rsid w:val="00200CA3"/>
    <w:rsid w:val="002017F7"/>
    <w:rsid w:val="00202002"/>
    <w:rsid w:val="002029B9"/>
    <w:rsid w:val="00203673"/>
    <w:rsid w:val="0020719F"/>
    <w:rsid w:val="00211ED9"/>
    <w:rsid w:val="00214993"/>
    <w:rsid w:val="0021514C"/>
    <w:rsid w:val="00221C8E"/>
    <w:rsid w:val="00221E9C"/>
    <w:rsid w:val="00224BAC"/>
    <w:rsid w:val="0022540B"/>
    <w:rsid w:val="002257C9"/>
    <w:rsid w:val="002267DF"/>
    <w:rsid w:val="0023031C"/>
    <w:rsid w:val="002314B0"/>
    <w:rsid w:val="00232555"/>
    <w:rsid w:val="00234467"/>
    <w:rsid w:val="00234BF1"/>
    <w:rsid w:val="0023628B"/>
    <w:rsid w:val="00237D8D"/>
    <w:rsid w:val="00241DA2"/>
    <w:rsid w:val="00242824"/>
    <w:rsid w:val="00242D55"/>
    <w:rsid w:val="0024497B"/>
    <w:rsid w:val="00245EF0"/>
    <w:rsid w:val="00247FEE"/>
    <w:rsid w:val="00250E7D"/>
    <w:rsid w:val="00251443"/>
    <w:rsid w:val="00253DF8"/>
    <w:rsid w:val="00253F49"/>
    <w:rsid w:val="00254610"/>
    <w:rsid w:val="002549F1"/>
    <w:rsid w:val="002565D5"/>
    <w:rsid w:val="00257ECC"/>
    <w:rsid w:val="002612C1"/>
    <w:rsid w:val="002622C0"/>
    <w:rsid w:val="00262AF9"/>
    <w:rsid w:val="002643BE"/>
    <w:rsid w:val="002678B3"/>
    <w:rsid w:val="00271A84"/>
    <w:rsid w:val="00272D0D"/>
    <w:rsid w:val="00272FF0"/>
    <w:rsid w:val="00274118"/>
    <w:rsid w:val="002756B6"/>
    <w:rsid w:val="00277866"/>
    <w:rsid w:val="002778AE"/>
    <w:rsid w:val="0028148A"/>
    <w:rsid w:val="002816BF"/>
    <w:rsid w:val="0028269A"/>
    <w:rsid w:val="00283590"/>
    <w:rsid w:val="0028416C"/>
    <w:rsid w:val="00286973"/>
    <w:rsid w:val="00286A65"/>
    <w:rsid w:val="002875CA"/>
    <w:rsid w:val="00290122"/>
    <w:rsid w:val="00291795"/>
    <w:rsid w:val="0029226A"/>
    <w:rsid w:val="00294A0C"/>
    <w:rsid w:val="00294E70"/>
    <w:rsid w:val="002A10D8"/>
    <w:rsid w:val="002A1924"/>
    <w:rsid w:val="002A2B7F"/>
    <w:rsid w:val="002A2D94"/>
    <w:rsid w:val="002A716E"/>
    <w:rsid w:val="002A7420"/>
    <w:rsid w:val="002B0F12"/>
    <w:rsid w:val="002B1308"/>
    <w:rsid w:val="002B2599"/>
    <w:rsid w:val="002B2EBE"/>
    <w:rsid w:val="002B3945"/>
    <w:rsid w:val="002B431F"/>
    <w:rsid w:val="002B4554"/>
    <w:rsid w:val="002C030D"/>
    <w:rsid w:val="002C2173"/>
    <w:rsid w:val="002C24E8"/>
    <w:rsid w:val="002C25A2"/>
    <w:rsid w:val="002C26B6"/>
    <w:rsid w:val="002C5171"/>
    <w:rsid w:val="002C5D01"/>
    <w:rsid w:val="002C72D8"/>
    <w:rsid w:val="002D11FA"/>
    <w:rsid w:val="002D40AC"/>
    <w:rsid w:val="002D745E"/>
    <w:rsid w:val="002E0DDF"/>
    <w:rsid w:val="002E2906"/>
    <w:rsid w:val="002E31FC"/>
    <w:rsid w:val="002E5635"/>
    <w:rsid w:val="002E64C3"/>
    <w:rsid w:val="002E6A2C"/>
    <w:rsid w:val="002E7927"/>
    <w:rsid w:val="002F0ADC"/>
    <w:rsid w:val="002F1D8C"/>
    <w:rsid w:val="002F21DA"/>
    <w:rsid w:val="002F2638"/>
    <w:rsid w:val="002F2861"/>
    <w:rsid w:val="00300E09"/>
    <w:rsid w:val="00301F39"/>
    <w:rsid w:val="00302A5F"/>
    <w:rsid w:val="00306D3C"/>
    <w:rsid w:val="003115B3"/>
    <w:rsid w:val="00314893"/>
    <w:rsid w:val="0031556A"/>
    <w:rsid w:val="0031653C"/>
    <w:rsid w:val="003200A9"/>
    <w:rsid w:val="00320167"/>
    <w:rsid w:val="00322AC7"/>
    <w:rsid w:val="0032568B"/>
    <w:rsid w:val="00325926"/>
    <w:rsid w:val="003264D9"/>
    <w:rsid w:val="0032724E"/>
    <w:rsid w:val="00327A8A"/>
    <w:rsid w:val="0033250D"/>
    <w:rsid w:val="00332DEA"/>
    <w:rsid w:val="00333E48"/>
    <w:rsid w:val="00334733"/>
    <w:rsid w:val="00336610"/>
    <w:rsid w:val="00343F73"/>
    <w:rsid w:val="00345060"/>
    <w:rsid w:val="00345DD3"/>
    <w:rsid w:val="003465F8"/>
    <w:rsid w:val="00350C4B"/>
    <w:rsid w:val="0035323B"/>
    <w:rsid w:val="00353999"/>
    <w:rsid w:val="0035458B"/>
    <w:rsid w:val="00356236"/>
    <w:rsid w:val="003609D2"/>
    <w:rsid w:val="00363F22"/>
    <w:rsid w:val="00364CA2"/>
    <w:rsid w:val="0036534A"/>
    <w:rsid w:val="0037077C"/>
    <w:rsid w:val="00371810"/>
    <w:rsid w:val="00372B35"/>
    <w:rsid w:val="00375564"/>
    <w:rsid w:val="00376E09"/>
    <w:rsid w:val="0038036B"/>
    <w:rsid w:val="003820CB"/>
    <w:rsid w:val="003827E6"/>
    <w:rsid w:val="00383191"/>
    <w:rsid w:val="0038424C"/>
    <w:rsid w:val="00384573"/>
    <w:rsid w:val="003867B2"/>
    <w:rsid w:val="00386DED"/>
    <w:rsid w:val="00390304"/>
    <w:rsid w:val="003907D7"/>
    <w:rsid w:val="003912E7"/>
    <w:rsid w:val="00391E63"/>
    <w:rsid w:val="003927E8"/>
    <w:rsid w:val="00393947"/>
    <w:rsid w:val="00393BCA"/>
    <w:rsid w:val="003947FB"/>
    <w:rsid w:val="00395978"/>
    <w:rsid w:val="003963C2"/>
    <w:rsid w:val="003A1326"/>
    <w:rsid w:val="003A1713"/>
    <w:rsid w:val="003A1792"/>
    <w:rsid w:val="003A1AFC"/>
    <w:rsid w:val="003A2275"/>
    <w:rsid w:val="003A2ECB"/>
    <w:rsid w:val="003A6A4F"/>
    <w:rsid w:val="003A6B05"/>
    <w:rsid w:val="003A7088"/>
    <w:rsid w:val="003B00DF"/>
    <w:rsid w:val="003B1275"/>
    <w:rsid w:val="003B1778"/>
    <w:rsid w:val="003B1A70"/>
    <w:rsid w:val="003B2FF7"/>
    <w:rsid w:val="003B33B2"/>
    <w:rsid w:val="003B38F3"/>
    <w:rsid w:val="003B40A4"/>
    <w:rsid w:val="003B4DA3"/>
    <w:rsid w:val="003C010E"/>
    <w:rsid w:val="003C0210"/>
    <w:rsid w:val="003C0420"/>
    <w:rsid w:val="003C11CB"/>
    <w:rsid w:val="003C3996"/>
    <w:rsid w:val="003C4410"/>
    <w:rsid w:val="003C5402"/>
    <w:rsid w:val="003C56C0"/>
    <w:rsid w:val="003C6CA4"/>
    <w:rsid w:val="003C7133"/>
    <w:rsid w:val="003C7406"/>
    <w:rsid w:val="003C75F3"/>
    <w:rsid w:val="003C78A3"/>
    <w:rsid w:val="003D11D7"/>
    <w:rsid w:val="003D2B8C"/>
    <w:rsid w:val="003D4DCB"/>
    <w:rsid w:val="003D6A31"/>
    <w:rsid w:val="003D6B0F"/>
    <w:rsid w:val="003E1867"/>
    <w:rsid w:val="003E5729"/>
    <w:rsid w:val="003E7B67"/>
    <w:rsid w:val="003F1D5E"/>
    <w:rsid w:val="003F2BC8"/>
    <w:rsid w:val="003F4EE0"/>
    <w:rsid w:val="003F5AE7"/>
    <w:rsid w:val="00401781"/>
    <w:rsid w:val="00402153"/>
    <w:rsid w:val="00402CB6"/>
    <w:rsid w:val="00402FC1"/>
    <w:rsid w:val="00404593"/>
    <w:rsid w:val="00405923"/>
    <w:rsid w:val="00405AD6"/>
    <w:rsid w:val="00407E45"/>
    <w:rsid w:val="00414686"/>
    <w:rsid w:val="00416B44"/>
    <w:rsid w:val="00417BA2"/>
    <w:rsid w:val="0042311D"/>
    <w:rsid w:val="00423403"/>
    <w:rsid w:val="004247EF"/>
    <w:rsid w:val="00425082"/>
    <w:rsid w:val="00427608"/>
    <w:rsid w:val="0043003E"/>
    <w:rsid w:val="0043033A"/>
    <w:rsid w:val="00431749"/>
    <w:rsid w:val="00431DC5"/>
    <w:rsid w:val="00431DEB"/>
    <w:rsid w:val="0043356F"/>
    <w:rsid w:val="00434D1B"/>
    <w:rsid w:val="00436328"/>
    <w:rsid w:val="004372BF"/>
    <w:rsid w:val="00437F4C"/>
    <w:rsid w:val="00440E6C"/>
    <w:rsid w:val="004448C9"/>
    <w:rsid w:val="00446454"/>
    <w:rsid w:val="00446B29"/>
    <w:rsid w:val="00450446"/>
    <w:rsid w:val="00450810"/>
    <w:rsid w:val="0045212E"/>
    <w:rsid w:val="00453C84"/>
    <w:rsid w:val="00453F9A"/>
    <w:rsid w:val="0045497A"/>
    <w:rsid w:val="00456D23"/>
    <w:rsid w:val="0046088E"/>
    <w:rsid w:val="00461BBA"/>
    <w:rsid w:val="00462C04"/>
    <w:rsid w:val="00462D44"/>
    <w:rsid w:val="0046385B"/>
    <w:rsid w:val="00464A17"/>
    <w:rsid w:val="0046522A"/>
    <w:rsid w:val="00465D2C"/>
    <w:rsid w:val="00465FD5"/>
    <w:rsid w:val="00470D86"/>
    <w:rsid w:val="00471350"/>
    <w:rsid w:val="00471E91"/>
    <w:rsid w:val="00473649"/>
    <w:rsid w:val="00473F6F"/>
    <w:rsid w:val="00474675"/>
    <w:rsid w:val="0047470C"/>
    <w:rsid w:val="00477ED3"/>
    <w:rsid w:val="00480BA9"/>
    <w:rsid w:val="00482796"/>
    <w:rsid w:val="00485123"/>
    <w:rsid w:val="00485C72"/>
    <w:rsid w:val="0048607C"/>
    <w:rsid w:val="00490E01"/>
    <w:rsid w:val="0049365C"/>
    <w:rsid w:val="00494583"/>
    <w:rsid w:val="004A35F9"/>
    <w:rsid w:val="004A532C"/>
    <w:rsid w:val="004B24C1"/>
    <w:rsid w:val="004B6114"/>
    <w:rsid w:val="004B75D9"/>
    <w:rsid w:val="004C1239"/>
    <w:rsid w:val="004C1DF4"/>
    <w:rsid w:val="004C235B"/>
    <w:rsid w:val="004C292F"/>
    <w:rsid w:val="004C29CD"/>
    <w:rsid w:val="004D20EA"/>
    <w:rsid w:val="004D7FAF"/>
    <w:rsid w:val="004E058C"/>
    <w:rsid w:val="004E4DBA"/>
    <w:rsid w:val="004E5DA2"/>
    <w:rsid w:val="004E5F87"/>
    <w:rsid w:val="004E74ED"/>
    <w:rsid w:val="004F2936"/>
    <w:rsid w:val="005028B0"/>
    <w:rsid w:val="005054BB"/>
    <w:rsid w:val="00506796"/>
    <w:rsid w:val="00510280"/>
    <w:rsid w:val="00511E70"/>
    <w:rsid w:val="00513D73"/>
    <w:rsid w:val="00514A43"/>
    <w:rsid w:val="00514BBE"/>
    <w:rsid w:val="0051718D"/>
    <w:rsid w:val="005174E5"/>
    <w:rsid w:val="00521F4C"/>
    <w:rsid w:val="00522393"/>
    <w:rsid w:val="00522620"/>
    <w:rsid w:val="005237F6"/>
    <w:rsid w:val="005250D1"/>
    <w:rsid w:val="00525656"/>
    <w:rsid w:val="00526C2E"/>
    <w:rsid w:val="00527697"/>
    <w:rsid w:val="0053370F"/>
    <w:rsid w:val="00533E44"/>
    <w:rsid w:val="00534C02"/>
    <w:rsid w:val="00540AD3"/>
    <w:rsid w:val="00540BCE"/>
    <w:rsid w:val="0054264B"/>
    <w:rsid w:val="00543786"/>
    <w:rsid w:val="00545D41"/>
    <w:rsid w:val="00552AA6"/>
    <w:rsid w:val="005533D7"/>
    <w:rsid w:val="005536AD"/>
    <w:rsid w:val="00555C9F"/>
    <w:rsid w:val="0056094A"/>
    <w:rsid w:val="00565394"/>
    <w:rsid w:val="005703DE"/>
    <w:rsid w:val="0058464E"/>
    <w:rsid w:val="00587EFB"/>
    <w:rsid w:val="0059084D"/>
    <w:rsid w:val="00593DB8"/>
    <w:rsid w:val="00594827"/>
    <w:rsid w:val="00594E20"/>
    <w:rsid w:val="005A01CB"/>
    <w:rsid w:val="005A5071"/>
    <w:rsid w:val="005A54DF"/>
    <w:rsid w:val="005A58FF"/>
    <w:rsid w:val="005A5EAF"/>
    <w:rsid w:val="005A64C0"/>
    <w:rsid w:val="005B0F71"/>
    <w:rsid w:val="005B3C11"/>
    <w:rsid w:val="005B4B72"/>
    <w:rsid w:val="005C07D0"/>
    <w:rsid w:val="005C1C28"/>
    <w:rsid w:val="005C4170"/>
    <w:rsid w:val="005C4A17"/>
    <w:rsid w:val="005C4D19"/>
    <w:rsid w:val="005C6DB5"/>
    <w:rsid w:val="005D1C81"/>
    <w:rsid w:val="005D3070"/>
    <w:rsid w:val="005E01AC"/>
    <w:rsid w:val="005E07CB"/>
    <w:rsid w:val="005E19E7"/>
    <w:rsid w:val="005E25E8"/>
    <w:rsid w:val="005E4A29"/>
    <w:rsid w:val="005E535C"/>
    <w:rsid w:val="005E57BD"/>
    <w:rsid w:val="005E6DC0"/>
    <w:rsid w:val="005E7642"/>
    <w:rsid w:val="005F1A26"/>
    <w:rsid w:val="005F4B74"/>
    <w:rsid w:val="00606A4C"/>
    <w:rsid w:val="00606C8E"/>
    <w:rsid w:val="006076BC"/>
    <w:rsid w:val="0061105D"/>
    <w:rsid w:val="006110AF"/>
    <w:rsid w:val="00614837"/>
    <w:rsid w:val="00615269"/>
    <w:rsid w:val="006152B9"/>
    <w:rsid w:val="0061716C"/>
    <w:rsid w:val="006177E5"/>
    <w:rsid w:val="00620479"/>
    <w:rsid w:val="006243A1"/>
    <w:rsid w:val="00627657"/>
    <w:rsid w:val="00631C4E"/>
    <w:rsid w:val="0063290D"/>
    <w:rsid w:val="00632E56"/>
    <w:rsid w:val="00635CBA"/>
    <w:rsid w:val="00635E69"/>
    <w:rsid w:val="006363AF"/>
    <w:rsid w:val="00640CE2"/>
    <w:rsid w:val="006419DF"/>
    <w:rsid w:val="0064338B"/>
    <w:rsid w:val="00643E9F"/>
    <w:rsid w:val="006444B5"/>
    <w:rsid w:val="00645692"/>
    <w:rsid w:val="00646542"/>
    <w:rsid w:val="00646ED0"/>
    <w:rsid w:val="00647D11"/>
    <w:rsid w:val="0065021B"/>
    <w:rsid w:val="006504F4"/>
    <w:rsid w:val="00653424"/>
    <w:rsid w:val="00654BC9"/>
    <w:rsid w:val="006552FD"/>
    <w:rsid w:val="00655A36"/>
    <w:rsid w:val="00656786"/>
    <w:rsid w:val="00661DD5"/>
    <w:rsid w:val="00662766"/>
    <w:rsid w:val="00663785"/>
    <w:rsid w:val="00663AF3"/>
    <w:rsid w:val="006656F3"/>
    <w:rsid w:val="00666B6C"/>
    <w:rsid w:val="00666F2F"/>
    <w:rsid w:val="00670A32"/>
    <w:rsid w:val="006717C9"/>
    <w:rsid w:val="00672F90"/>
    <w:rsid w:val="006734E0"/>
    <w:rsid w:val="00673A5F"/>
    <w:rsid w:val="00675AE8"/>
    <w:rsid w:val="00675E12"/>
    <w:rsid w:val="00681A87"/>
    <w:rsid w:val="00682682"/>
    <w:rsid w:val="00682702"/>
    <w:rsid w:val="00682ED2"/>
    <w:rsid w:val="006862D7"/>
    <w:rsid w:val="00686657"/>
    <w:rsid w:val="006921DF"/>
    <w:rsid w:val="00692368"/>
    <w:rsid w:val="0069253F"/>
    <w:rsid w:val="00693BF2"/>
    <w:rsid w:val="00693D0E"/>
    <w:rsid w:val="00694A12"/>
    <w:rsid w:val="00697851"/>
    <w:rsid w:val="00697FE8"/>
    <w:rsid w:val="006A2A62"/>
    <w:rsid w:val="006A2EBC"/>
    <w:rsid w:val="006A3679"/>
    <w:rsid w:val="006A5EA0"/>
    <w:rsid w:val="006A783B"/>
    <w:rsid w:val="006A7B33"/>
    <w:rsid w:val="006B1FA9"/>
    <w:rsid w:val="006B3080"/>
    <w:rsid w:val="006B3CC0"/>
    <w:rsid w:val="006B4E13"/>
    <w:rsid w:val="006B75DD"/>
    <w:rsid w:val="006B7B4B"/>
    <w:rsid w:val="006C4C73"/>
    <w:rsid w:val="006C67E0"/>
    <w:rsid w:val="006C7ABA"/>
    <w:rsid w:val="006D0D60"/>
    <w:rsid w:val="006D0E64"/>
    <w:rsid w:val="006D1122"/>
    <w:rsid w:val="006D3C00"/>
    <w:rsid w:val="006D4DC1"/>
    <w:rsid w:val="006D543F"/>
    <w:rsid w:val="006E12CB"/>
    <w:rsid w:val="006E1E99"/>
    <w:rsid w:val="006E2DB2"/>
    <w:rsid w:val="006E3675"/>
    <w:rsid w:val="006E4A7F"/>
    <w:rsid w:val="006E4DE8"/>
    <w:rsid w:val="006E4FF5"/>
    <w:rsid w:val="006E6A0E"/>
    <w:rsid w:val="006F038D"/>
    <w:rsid w:val="006F1140"/>
    <w:rsid w:val="006F5913"/>
    <w:rsid w:val="00703CE8"/>
    <w:rsid w:val="00704DF6"/>
    <w:rsid w:val="00705CE1"/>
    <w:rsid w:val="0070651C"/>
    <w:rsid w:val="00712E3E"/>
    <w:rsid w:val="007132A3"/>
    <w:rsid w:val="007150B3"/>
    <w:rsid w:val="007161E9"/>
    <w:rsid w:val="00716421"/>
    <w:rsid w:val="007177ED"/>
    <w:rsid w:val="00717D9A"/>
    <w:rsid w:val="007204CB"/>
    <w:rsid w:val="0072054C"/>
    <w:rsid w:val="00720CA4"/>
    <w:rsid w:val="00721F1D"/>
    <w:rsid w:val="00722F54"/>
    <w:rsid w:val="00724889"/>
    <w:rsid w:val="00724EFB"/>
    <w:rsid w:val="00726BFC"/>
    <w:rsid w:val="007305E4"/>
    <w:rsid w:val="00732DE7"/>
    <w:rsid w:val="00734316"/>
    <w:rsid w:val="00737A7E"/>
    <w:rsid w:val="00737BD3"/>
    <w:rsid w:val="007416ED"/>
    <w:rsid w:val="007418FE"/>
    <w:rsid w:val="007419C3"/>
    <w:rsid w:val="00741BA7"/>
    <w:rsid w:val="0074359E"/>
    <w:rsid w:val="0074580A"/>
    <w:rsid w:val="00745928"/>
    <w:rsid w:val="007467A7"/>
    <w:rsid w:val="007469DD"/>
    <w:rsid w:val="0074741B"/>
    <w:rsid w:val="0074759E"/>
    <w:rsid w:val="00747845"/>
    <w:rsid w:val="007478EA"/>
    <w:rsid w:val="00750271"/>
    <w:rsid w:val="007504F5"/>
    <w:rsid w:val="00752830"/>
    <w:rsid w:val="0075415C"/>
    <w:rsid w:val="007542CF"/>
    <w:rsid w:val="007613B0"/>
    <w:rsid w:val="00761CF4"/>
    <w:rsid w:val="0076266D"/>
    <w:rsid w:val="007627C6"/>
    <w:rsid w:val="007633B3"/>
    <w:rsid w:val="00763502"/>
    <w:rsid w:val="00763E3D"/>
    <w:rsid w:val="0076424E"/>
    <w:rsid w:val="00764446"/>
    <w:rsid w:val="00766A22"/>
    <w:rsid w:val="007679D8"/>
    <w:rsid w:val="00772220"/>
    <w:rsid w:val="00775B40"/>
    <w:rsid w:val="007804E4"/>
    <w:rsid w:val="00783A0B"/>
    <w:rsid w:val="00785630"/>
    <w:rsid w:val="0078589C"/>
    <w:rsid w:val="007913AB"/>
    <w:rsid w:val="007914F7"/>
    <w:rsid w:val="00791A80"/>
    <w:rsid w:val="007935CD"/>
    <w:rsid w:val="00793726"/>
    <w:rsid w:val="00794072"/>
    <w:rsid w:val="00795DDC"/>
    <w:rsid w:val="007974C3"/>
    <w:rsid w:val="007A2269"/>
    <w:rsid w:val="007A6EF0"/>
    <w:rsid w:val="007B1625"/>
    <w:rsid w:val="007B358A"/>
    <w:rsid w:val="007B706E"/>
    <w:rsid w:val="007B71EB"/>
    <w:rsid w:val="007C2044"/>
    <w:rsid w:val="007C2A84"/>
    <w:rsid w:val="007C4971"/>
    <w:rsid w:val="007C51EF"/>
    <w:rsid w:val="007C6205"/>
    <w:rsid w:val="007C686A"/>
    <w:rsid w:val="007C698E"/>
    <w:rsid w:val="007C728E"/>
    <w:rsid w:val="007C74BF"/>
    <w:rsid w:val="007D098D"/>
    <w:rsid w:val="007D2C53"/>
    <w:rsid w:val="007D3D60"/>
    <w:rsid w:val="007E1980"/>
    <w:rsid w:val="007E4B76"/>
    <w:rsid w:val="007E5EA8"/>
    <w:rsid w:val="007E62B5"/>
    <w:rsid w:val="007E6D04"/>
    <w:rsid w:val="007F0CF1"/>
    <w:rsid w:val="007F12A5"/>
    <w:rsid w:val="007F3205"/>
    <w:rsid w:val="007F4CF1"/>
    <w:rsid w:val="007F6742"/>
    <w:rsid w:val="007F6DAB"/>
    <w:rsid w:val="007F758D"/>
    <w:rsid w:val="007F7D52"/>
    <w:rsid w:val="00801C48"/>
    <w:rsid w:val="0080654C"/>
    <w:rsid w:val="00806836"/>
    <w:rsid w:val="00806A4E"/>
    <w:rsid w:val="008070F0"/>
    <w:rsid w:val="008071C6"/>
    <w:rsid w:val="008117E4"/>
    <w:rsid w:val="00811CBD"/>
    <w:rsid w:val="0081244F"/>
    <w:rsid w:val="00817A00"/>
    <w:rsid w:val="00817CC7"/>
    <w:rsid w:val="00821285"/>
    <w:rsid w:val="008214FD"/>
    <w:rsid w:val="008216B7"/>
    <w:rsid w:val="00822EC2"/>
    <w:rsid w:val="008247E4"/>
    <w:rsid w:val="008274D0"/>
    <w:rsid w:val="00833DF1"/>
    <w:rsid w:val="00833F74"/>
    <w:rsid w:val="00835DB3"/>
    <w:rsid w:val="0083617B"/>
    <w:rsid w:val="008371BD"/>
    <w:rsid w:val="00840628"/>
    <w:rsid w:val="008407D2"/>
    <w:rsid w:val="00842D1A"/>
    <w:rsid w:val="00846517"/>
    <w:rsid w:val="008504A8"/>
    <w:rsid w:val="00850F4B"/>
    <w:rsid w:val="00851B08"/>
    <w:rsid w:val="0085282E"/>
    <w:rsid w:val="00860B7A"/>
    <w:rsid w:val="0086143E"/>
    <w:rsid w:val="008627E2"/>
    <w:rsid w:val="008634FF"/>
    <w:rsid w:val="008655DA"/>
    <w:rsid w:val="0086611C"/>
    <w:rsid w:val="0087198C"/>
    <w:rsid w:val="00872C1F"/>
    <w:rsid w:val="008738C9"/>
    <w:rsid w:val="00873B42"/>
    <w:rsid w:val="0087440F"/>
    <w:rsid w:val="00876A50"/>
    <w:rsid w:val="008772F8"/>
    <w:rsid w:val="00880BD0"/>
    <w:rsid w:val="008811CD"/>
    <w:rsid w:val="008856D8"/>
    <w:rsid w:val="008864B8"/>
    <w:rsid w:val="00890402"/>
    <w:rsid w:val="00890DBC"/>
    <w:rsid w:val="00890F88"/>
    <w:rsid w:val="008914F4"/>
    <w:rsid w:val="00892E82"/>
    <w:rsid w:val="00895DBC"/>
    <w:rsid w:val="008A54D2"/>
    <w:rsid w:val="008A6439"/>
    <w:rsid w:val="008A71FD"/>
    <w:rsid w:val="008C1568"/>
    <w:rsid w:val="008C1B58"/>
    <w:rsid w:val="008C1C15"/>
    <w:rsid w:val="008C39AE"/>
    <w:rsid w:val="008C590D"/>
    <w:rsid w:val="008C7718"/>
    <w:rsid w:val="008C7AA9"/>
    <w:rsid w:val="008D094D"/>
    <w:rsid w:val="008D6F4A"/>
    <w:rsid w:val="008D7D84"/>
    <w:rsid w:val="008E031B"/>
    <w:rsid w:val="008E0487"/>
    <w:rsid w:val="008E16EB"/>
    <w:rsid w:val="008E4A98"/>
    <w:rsid w:val="008E5910"/>
    <w:rsid w:val="008E7029"/>
    <w:rsid w:val="008E7EF6"/>
    <w:rsid w:val="008F1F98"/>
    <w:rsid w:val="008F2D59"/>
    <w:rsid w:val="008F45E3"/>
    <w:rsid w:val="008F4C0F"/>
    <w:rsid w:val="008F6758"/>
    <w:rsid w:val="009040DD"/>
    <w:rsid w:val="009043D9"/>
    <w:rsid w:val="00905B47"/>
    <w:rsid w:val="00905DC3"/>
    <w:rsid w:val="00906AD9"/>
    <w:rsid w:val="00907D70"/>
    <w:rsid w:val="00911EB3"/>
    <w:rsid w:val="0091331C"/>
    <w:rsid w:val="00917409"/>
    <w:rsid w:val="00917C8D"/>
    <w:rsid w:val="009205C3"/>
    <w:rsid w:val="00924457"/>
    <w:rsid w:val="00925442"/>
    <w:rsid w:val="0092623A"/>
    <w:rsid w:val="00926401"/>
    <w:rsid w:val="009265B2"/>
    <w:rsid w:val="009270DC"/>
    <w:rsid w:val="009271A7"/>
    <w:rsid w:val="009279DE"/>
    <w:rsid w:val="00930116"/>
    <w:rsid w:val="00931B9A"/>
    <w:rsid w:val="009354DE"/>
    <w:rsid w:val="00936475"/>
    <w:rsid w:val="00937074"/>
    <w:rsid w:val="00942080"/>
    <w:rsid w:val="0094212C"/>
    <w:rsid w:val="00944003"/>
    <w:rsid w:val="009455B8"/>
    <w:rsid w:val="00950AE5"/>
    <w:rsid w:val="00951B7E"/>
    <w:rsid w:val="009539E3"/>
    <w:rsid w:val="00954689"/>
    <w:rsid w:val="00954DA6"/>
    <w:rsid w:val="0095619D"/>
    <w:rsid w:val="009564B5"/>
    <w:rsid w:val="009577A0"/>
    <w:rsid w:val="00961136"/>
    <w:rsid w:val="009617C9"/>
    <w:rsid w:val="00961815"/>
    <w:rsid w:val="00961C93"/>
    <w:rsid w:val="009627AA"/>
    <w:rsid w:val="00963BF5"/>
    <w:rsid w:val="00965324"/>
    <w:rsid w:val="00970550"/>
    <w:rsid w:val="0097091E"/>
    <w:rsid w:val="00970E2F"/>
    <w:rsid w:val="00972C02"/>
    <w:rsid w:val="00975D42"/>
    <w:rsid w:val="009760D3"/>
    <w:rsid w:val="00976B88"/>
    <w:rsid w:val="00977132"/>
    <w:rsid w:val="00981A4B"/>
    <w:rsid w:val="00982501"/>
    <w:rsid w:val="00983DBB"/>
    <w:rsid w:val="00984583"/>
    <w:rsid w:val="00985CF2"/>
    <w:rsid w:val="00985EF6"/>
    <w:rsid w:val="009877D3"/>
    <w:rsid w:val="00994E8F"/>
    <w:rsid w:val="009951DC"/>
    <w:rsid w:val="009959BB"/>
    <w:rsid w:val="00995CB5"/>
    <w:rsid w:val="0099686D"/>
    <w:rsid w:val="00997158"/>
    <w:rsid w:val="009A18E5"/>
    <w:rsid w:val="009A3A7C"/>
    <w:rsid w:val="009A55B3"/>
    <w:rsid w:val="009A73BE"/>
    <w:rsid w:val="009B0EE9"/>
    <w:rsid w:val="009B1F81"/>
    <w:rsid w:val="009B2341"/>
    <w:rsid w:val="009B2ADB"/>
    <w:rsid w:val="009B3CBF"/>
    <w:rsid w:val="009B4532"/>
    <w:rsid w:val="009B4FEA"/>
    <w:rsid w:val="009B603A"/>
    <w:rsid w:val="009C2D0E"/>
    <w:rsid w:val="009C3DAC"/>
    <w:rsid w:val="009C42E0"/>
    <w:rsid w:val="009C7CE8"/>
    <w:rsid w:val="009D2A96"/>
    <w:rsid w:val="009D312B"/>
    <w:rsid w:val="009D5362"/>
    <w:rsid w:val="009D55D3"/>
    <w:rsid w:val="009E1415"/>
    <w:rsid w:val="009E6116"/>
    <w:rsid w:val="009F0AF8"/>
    <w:rsid w:val="009F12F6"/>
    <w:rsid w:val="009F2E26"/>
    <w:rsid w:val="009F60DD"/>
    <w:rsid w:val="009F70C8"/>
    <w:rsid w:val="00A00A66"/>
    <w:rsid w:val="00A02A9C"/>
    <w:rsid w:val="00A02E43"/>
    <w:rsid w:val="00A03B6D"/>
    <w:rsid w:val="00A0598D"/>
    <w:rsid w:val="00A065F9"/>
    <w:rsid w:val="00A07262"/>
    <w:rsid w:val="00A07E20"/>
    <w:rsid w:val="00A07F34"/>
    <w:rsid w:val="00A13494"/>
    <w:rsid w:val="00A17C5E"/>
    <w:rsid w:val="00A22130"/>
    <w:rsid w:val="00A22154"/>
    <w:rsid w:val="00A239E5"/>
    <w:rsid w:val="00A25C38"/>
    <w:rsid w:val="00A25EBB"/>
    <w:rsid w:val="00A30046"/>
    <w:rsid w:val="00A33351"/>
    <w:rsid w:val="00A36BBE"/>
    <w:rsid w:val="00A4000A"/>
    <w:rsid w:val="00A4307A"/>
    <w:rsid w:val="00A461EE"/>
    <w:rsid w:val="00A46A06"/>
    <w:rsid w:val="00A46EDF"/>
    <w:rsid w:val="00A47EBB"/>
    <w:rsid w:val="00A47FBB"/>
    <w:rsid w:val="00A51CDD"/>
    <w:rsid w:val="00A540C0"/>
    <w:rsid w:val="00A57EDA"/>
    <w:rsid w:val="00A61DD3"/>
    <w:rsid w:val="00A6265D"/>
    <w:rsid w:val="00A64BCD"/>
    <w:rsid w:val="00A65C68"/>
    <w:rsid w:val="00A65C6D"/>
    <w:rsid w:val="00A66E28"/>
    <w:rsid w:val="00A6730D"/>
    <w:rsid w:val="00A71625"/>
    <w:rsid w:val="00A71B9B"/>
    <w:rsid w:val="00A73AC6"/>
    <w:rsid w:val="00A73D56"/>
    <w:rsid w:val="00A751C7"/>
    <w:rsid w:val="00A752B3"/>
    <w:rsid w:val="00A82C7B"/>
    <w:rsid w:val="00A85441"/>
    <w:rsid w:val="00A87844"/>
    <w:rsid w:val="00A90359"/>
    <w:rsid w:val="00A910DB"/>
    <w:rsid w:val="00A910FA"/>
    <w:rsid w:val="00A93041"/>
    <w:rsid w:val="00A93957"/>
    <w:rsid w:val="00A94A59"/>
    <w:rsid w:val="00A96FE4"/>
    <w:rsid w:val="00A97C36"/>
    <w:rsid w:val="00AA038C"/>
    <w:rsid w:val="00AA51B4"/>
    <w:rsid w:val="00AA5CDA"/>
    <w:rsid w:val="00AA6138"/>
    <w:rsid w:val="00AA724E"/>
    <w:rsid w:val="00AA7A09"/>
    <w:rsid w:val="00AB2193"/>
    <w:rsid w:val="00AB3B50"/>
    <w:rsid w:val="00AB3F1B"/>
    <w:rsid w:val="00AC05B1"/>
    <w:rsid w:val="00AC2E26"/>
    <w:rsid w:val="00AC36E8"/>
    <w:rsid w:val="00AC3E0E"/>
    <w:rsid w:val="00AC609F"/>
    <w:rsid w:val="00AD0B2F"/>
    <w:rsid w:val="00AD356C"/>
    <w:rsid w:val="00AD4797"/>
    <w:rsid w:val="00AD761A"/>
    <w:rsid w:val="00AD7904"/>
    <w:rsid w:val="00AE2650"/>
    <w:rsid w:val="00AE2914"/>
    <w:rsid w:val="00AE56C5"/>
    <w:rsid w:val="00AE6D15"/>
    <w:rsid w:val="00AE6E8F"/>
    <w:rsid w:val="00AE7A42"/>
    <w:rsid w:val="00AE7BC6"/>
    <w:rsid w:val="00AF3729"/>
    <w:rsid w:val="00B005B5"/>
    <w:rsid w:val="00B04182"/>
    <w:rsid w:val="00B07AE3"/>
    <w:rsid w:val="00B103CF"/>
    <w:rsid w:val="00B11430"/>
    <w:rsid w:val="00B1241A"/>
    <w:rsid w:val="00B133C5"/>
    <w:rsid w:val="00B136D2"/>
    <w:rsid w:val="00B138EC"/>
    <w:rsid w:val="00B169F6"/>
    <w:rsid w:val="00B1749B"/>
    <w:rsid w:val="00B21933"/>
    <w:rsid w:val="00B21C73"/>
    <w:rsid w:val="00B22A7D"/>
    <w:rsid w:val="00B24DDA"/>
    <w:rsid w:val="00B2697B"/>
    <w:rsid w:val="00B301BC"/>
    <w:rsid w:val="00B327CF"/>
    <w:rsid w:val="00B353EB"/>
    <w:rsid w:val="00B420D4"/>
    <w:rsid w:val="00B42549"/>
    <w:rsid w:val="00B439C4"/>
    <w:rsid w:val="00B44AD5"/>
    <w:rsid w:val="00B4535E"/>
    <w:rsid w:val="00B46494"/>
    <w:rsid w:val="00B50729"/>
    <w:rsid w:val="00B52A8C"/>
    <w:rsid w:val="00B5457B"/>
    <w:rsid w:val="00B55157"/>
    <w:rsid w:val="00B55B9F"/>
    <w:rsid w:val="00B56979"/>
    <w:rsid w:val="00B6047F"/>
    <w:rsid w:val="00B6316F"/>
    <w:rsid w:val="00B636A8"/>
    <w:rsid w:val="00B636AC"/>
    <w:rsid w:val="00B665C6"/>
    <w:rsid w:val="00B66673"/>
    <w:rsid w:val="00B709F3"/>
    <w:rsid w:val="00B712C6"/>
    <w:rsid w:val="00B73A33"/>
    <w:rsid w:val="00B74ECE"/>
    <w:rsid w:val="00B74FD3"/>
    <w:rsid w:val="00B75A51"/>
    <w:rsid w:val="00B76FD9"/>
    <w:rsid w:val="00B77AA4"/>
    <w:rsid w:val="00B805AF"/>
    <w:rsid w:val="00B812CD"/>
    <w:rsid w:val="00B82907"/>
    <w:rsid w:val="00B82C82"/>
    <w:rsid w:val="00B869EC"/>
    <w:rsid w:val="00B86C05"/>
    <w:rsid w:val="00B87BD7"/>
    <w:rsid w:val="00B9397A"/>
    <w:rsid w:val="00B9633D"/>
    <w:rsid w:val="00B97CAF"/>
    <w:rsid w:val="00BA1F4D"/>
    <w:rsid w:val="00BA2EBE"/>
    <w:rsid w:val="00BA36A7"/>
    <w:rsid w:val="00BA4E54"/>
    <w:rsid w:val="00BB025F"/>
    <w:rsid w:val="00BB0B2C"/>
    <w:rsid w:val="00BB0F28"/>
    <w:rsid w:val="00BB3165"/>
    <w:rsid w:val="00BB40F2"/>
    <w:rsid w:val="00BB458A"/>
    <w:rsid w:val="00BB683D"/>
    <w:rsid w:val="00BB79BC"/>
    <w:rsid w:val="00BC2819"/>
    <w:rsid w:val="00BC2A2D"/>
    <w:rsid w:val="00BC5ECF"/>
    <w:rsid w:val="00BC6348"/>
    <w:rsid w:val="00BD00D3"/>
    <w:rsid w:val="00BD1659"/>
    <w:rsid w:val="00BD3AA9"/>
    <w:rsid w:val="00BD4A18"/>
    <w:rsid w:val="00BD5C5A"/>
    <w:rsid w:val="00BD6DB2"/>
    <w:rsid w:val="00BD720D"/>
    <w:rsid w:val="00BE0B0F"/>
    <w:rsid w:val="00BE11CF"/>
    <w:rsid w:val="00BE21AB"/>
    <w:rsid w:val="00BE36E8"/>
    <w:rsid w:val="00BE55CB"/>
    <w:rsid w:val="00BE6FE4"/>
    <w:rsid w:val="00BF4B0A"/>
    <w:rsid w:val="00BF4C1F"/>
    <w:rsid w:val="00BF54BD"/>
    <w:rsid w:val="00BF617A"/>
    <w:rsid w:val="00BF65AE"/>
    <w:rsid w:val="00BF67DA"/>
    <w:rsid w:val="00C00EE0"/>
    <w:rsid w:val="00C02041"/>
    <w:rsid w:val="00C0379D"/>
    <w:rsid w:val="00C03931"/>
    <w:rsid w:val="00C052AA"/>
    <w:rsid w:val="00C057E1"/>
    <w:rsid w:val="00C05FE3"/>
    <w:rsid w:val="00C0653D"/>
    <w:rsid w:val="00C10E83"/>
    <w:rsid w:val="00C126FA"/>
    <w:rsid w:val="00C13147"/>
    <w:rsid w:val="00C16257"/>
    <w:rsid w:val="00C20F3E"/>
    <w:rsid w:val="00C210A1"/>
    <w:rsid w:val="00C2136D"/>
    <w:rsid w:val="00C214EE"/>
    <w:rsid w:val="00C22E2E"/>
    <w:rsid w:val="00C2314B"/>
    <w:rsid w:val="00C23425"/>
    <w:rsid w:val="00C23781"/>
    <w:rsid w:val="00C24971"/>
    <w:rsid w:val="00C2601E"/>
    <w:rsid w:val="00C26BE5"/>
    <w:rsid w:val="00C26E4D"/>
    <w:rsid w:val="00C27909"/>
    <w:rsid w:val="00C27B03"/>
    <w:rsid w:val="00C30C6E"/>
    <w:rsid w:val="00C314E1"/>
    <w:rsid w:val="00C31682"/>
    <w:rsid w:val="00C31B17"/>
    <w:rsid w:val="00C34397"/>
    <w:rsid w:val="00C34F69"/>
    <w:rsid w:val="00C35CAF"/>
    <w:rsid w:val="00C37C82"/>
    <w:rsid w:val="00C4095D"/>
    <w:rsid w:val="00C41683"/>
    <w:rsid w:val="00C447D1"/>
    <w:rsid w:val="00C452F5"/>
    <w:rsid w:val="00C45B54"/>
    <w:rsid w:val="00C47ABD"/>
    <w:rsid w:val="00C47B24"/>
    <w:rsid w:val="00C51879"/>
    <w:rsid w:val="00C5708E"/>
    <w:rsid w:val="00C601D2"/>
    <w:rsid w:val="00C63062"/>
    <w:rsid w:val="00C65BCC"/>
    <w:rsid w:val="00C66970"/>
    <w:rsid w:val="00C70BB8"/>
    <w:rsid w:val="00C75E52"/>
    <w:rsid w:val="00C76BE1"/>
    <w:rsid w:val="00C8446E"/>
    <w:rsid w:val="00C8691C"/>
    <w:rsid w:val="00C906F9"/>
    <w:rsid w:val="00C92C39"/>
    <w:rsid w:val="00C96671"/>
    <w:rsid w:val="00CA000E"/>
    <w:rsid w:val="00CA04DE"/>
    <w:rsid w:val="00CA154C"/>
    <w:rsid w:val="00CA168A"/>
    <w:rsid w:val="00CA210B"/>
    <w:rsid w:val="00CA357E"/>
    <w:rsid w:val="00CA44F9"/>
    <w:rsid w:val="00CA4A69"/>
    <w:rsid w:val="00CA58DC"/>
    <w:rsid w:val="00CA663D"/>
    <w:rsid w:val="00CA6E7D"/>
    <w:rsid w:val="00CB1F4E"/>
    <w:rsid w:val="00CB2855"/>
    <w:rsid w:val="00CB3CBD"/>
    <w:rsid w:val="00CB5A8D"/>
    <w:rsid w:val="00CB6675"/>
    <w:rsid w:val="00CB7DE2"/>
    <w:rsid w:val="00CC2F0E"/>
    <w:rsid w:val="00CC3218"/>
    <w:rsid w:val="00CC3E0C"/>
    <w:rsid w:val="00CC41CC"/>
    <w:rsid w:val="00CC51A0"/>
    <w:rsid w:val="00CC58D3"/>
    <w:rsid w:val="00CC767D"/>
    <w:rsid w:val="00CC784D"/>
    <w:rsid w:val="00CD0437"/>
    <w:rsid w:val="00CD13DB"/>
    <w:rsid w:val="00CD30A0"/>
    <w:rsid w:val="00CD3DC9"/>
    <w:rsid w:val="00CD420F"/>
    <w:rsid w:val="00CD6A35"/>
    <w:rsid w:val="00CE0A9C"/>
    <w:rsid w:val="00CE1119"/>
    <w:rsid w:val="00CE33DC"/>
    <w:rsid w:val="00CE6370"/>
    <w:rsid w:val="00CF0C47"/>
    <w:rsid w:val="00CF25AE"/>
    <w:rsid w:val="00CF3F1D"/>
    <w:rsid w:val="00CF5517"/>
    <w:rsid w:val="00CF5765"/>
    <w:rsid w:val="00D00266"/>
    <w:rsid w:val="00D0337B"/>
    <w:rsid w:val="00D053AE"/>
    <w:rsid w:val="00D079B2"/>
    <w:rsid w:val="00D114E9"/>
    <w:rsid w:val="00D15AA0"/>
    <w:rsid w:val="00D20C0C"/>
    <w:rsid w:val="00D21354"/>
    <w:rsid w:val="00D21FDE"/>
    <w:rsid w:val="00D23D4B"/>
    <w:rsid w:val="00D23DFF"/>
    <w:rsid w:val="00D30C7D"/>
    <w:rsid w:val="00D32252"/>
    <w:rsid w:val="00D34045"/>
    <w:rsid w:val="00D35637"/>
    <w:rsid w:val="00D429C6"/>
    <w:rsid w:val="00D43BAD"/>
    <w:rsid w:val="00D44672"/>
    <w:rsid w:val="00D45238"/>
    <w:rsid w:val="00D47748"/>
    <w:rsid w:val="00D4778A"/>
    <w:rsid w:val="00D506B4"/>
    <w:rsid w:val="00D5126E"/>
    <w:rsid w:val="00D5318B"/>
    <w:rsid w:val="00D54CC3"/>
    <w:rsid w:val="00D555E0"/>
    <w:rsid w:val="00D55CC4"/>
    <w:rsid w:val="00D57400"/>
    <w:rsid w:val="00D57768"/>
    <w:rsid w:val="00D6011F"/>
    <w:rsid w:val="00D6041A"/>
    <w:rsid w:val="00D60CF1"/>
    <w:rsid w:val="00D61731"/>
    <w:rsid w:val="00D626E6"/>
    <w:rsid w:val="00D633EB"/>
    <w:rsid w:val="00D64F44"/>
    <w:rsid w:val="00D653A1"/>
    <w:rsid w:val="00D6707E"/>
    <w:rsid w:val="00D71388"/>
    <w:rsid w:val="00D72F1D"/>
    <w:rsid w:val="00D74CBB"/>
    <w:rsid w:val="00D75276"/>
    <w:rsid w:val="00D7644D"/>
    <w:rsid w:val="00D81685"/>
    <w:rsid w:val="00D82FF7"/>
    <w:rsid w:val="00D84423"/>
    <w:rsid w:val="00D847FE"/>
    <w:rsid w:val="00D87D68"/>
    <w:rsid w:val="00D90B18"/>
    <w:rsid w:val="00D91D28"/>
    <w:rsid w:val="00D923CE"/>
    <w:rsid w:val="00D94D88"/>
    <w:rsid w:val="00D95AC3"/>
    <w:rsid w:val="00D95F18"/>
    <w:rsid w:val="00D964EA"/>
    <w:rsid w:val="00D966D0"/>
    <w:rsid w:val="00D96E3E"/>
    <w:rsid w:val="00D97E65"/>
    <w:rsid w:val="00DA0C59"/>
    <w:rsid w:val="00DA1B14"/>
    <w:rsid w:val="00DA3991"/>
    <w:rsid w:val="00DB0406"/>
    <w:rsid w:val="00DB048F"/>
    <w:rsid w:val="00DB0623"/>
    <w:rsid w:val="00DB0A59"/>
    <w:rsid w:val="00DB0B99"/>
    <w:rsid w:val="00DB4B00"/>
    <w:rsid w:val="00DB58BD"/>
    <w:rsid w:val="00DB61C8"/>
    <w:rsid w:val="00DB64A5"/>
    <w:rsid w:val="00DB7E6C"/>
    <w:rsid w:val="00DC2310"/>
    <w:rsid w:val="00DC3931"/>
    <w:rsid w:val="00DC467C"/>
    <w:rsid w:val="00DC761F"/>
    <w:rsid w:val="00DC7CBE"/>
    <w:rsid w:val="00DC7F60"/>
    <w:rsid w:val="00DD4F75"/>
    <w:rsid w:val="00DD5A29"/>
    <w:rsid w:val="00DD5D9D"/>
    <w:rsid w:val="00DD78F5"/>
    <w:rsid w:val="00DE1786"/>
    <w:rsid w:val="00DE2813"/>
    <w:rsid w:val="00DE2BBE"/>
    <w:rsid w:val="00DE2F36"/>
    <w:rsid w:val="00DE3515"/>
    <w:rsid w:val="00DE35CB"/>
    <w:rsid w:val="00DE6160"/>
    <w:rsid w:val="00DE62EE"/>
    <w:rsid w:val="00DE6724"/>
    <w:rsid w:val="00DF21E9"/>
    <w:rsid w:val="00DF2788"/>
    <w:rsid w:val="00DF3017"/>
    <w:rsid w:val="00DF4D79"/>
    <w:rsid w:val="00DF655F"/>
    <w:rsid w:val="00E00F14"/>
    <w:rsid w:val="00E04978"/>
    <w:rsid w:val="00E06386"/>
    <w:rsid w:val="00E07821"/>
    <w:rsid w:val="00E13C81"/>
    <w:rsid w:val="00E17127"/>
    <w:rsid w:val="00E24EB4"/>
    <w:rsid w:val="00E302E2"/>
    <w:rsid w:val="00E320ED"/>
    <w:rsid w:val="00E32404"/>
    <w:rsid w:val="00E32F78"/>
    <w:rsid w:val="00E33AFB"/>
    <w:rsid w:val="00E33BB3"/>
    <w:rsid w:val="00E34218"/>
    <w:rsid w:val="00E36E0E"/>
    <w:rsid w:val="00E46282"/>
    <w:rsid w:val="00E477F5"/>
    <w:rsid w:val="00E50696"/>
    <w:rsid w:val="00E51922"/>
    <w:rsid w:val="00E5216E"/>
    <w:rsid w:val="00E529BE"/>
    <w:rsid w:val="00E5467F"/>
    <w:rsid w:val="00E5528C"/>
    <w:rsid w:val="00E60B0C"/>
    <w:rsid w:val="00E61C80"/>
    <w:rsid w:val="00E63A22"/>
    <w:rsid w:val="00E64C42"/>
    <w:rsid w:val="00E66DAB"/>
    <w:rsid w:val="00E672B6"/>
    <w:rsid w:val="00E73964"/>
    <w:rsid w:val="00E739D7"/>
    <w:rsid w:val="00E82344"/>
    <w:rsid w:val="00E8296B"/>
    <w:rsid w:val="00E82BC4"/>
    <w:rsid w:val="00E8339F"/>
    <w:rsid w:val="00E833BF"/>
    <w:rsid w:val="00E842AF"/>
    <w:rsid w:val="00E84C82"/>
    <w:rsid w:val="00E84D64"/>
    <w:rsid w:val="00E85C93"/>
    <w:rsid w:val="00E863F7"/>
    <w:rsid w:val="00E87408"/>
    <w:rsid w:val="00E9073D"/>
    <w:rsid w:val="00E914C4"/>
    <w:rsid w:val="00E9169F"/>
    <w:rsid w:val="00E934F5"/>
    <w:rsid w:val="00E94A1F"/>
    <w:rsid w:val="00E956D4"/>
    <w:rsid w:val="00E96014"/>
    <w:rsid w:val="00E96961"/>
    <w:rsid w:val="00E96D4D"/>
    <w:rsid w:val="00E9723E"/>
    <w:rsid w:val="00EA3E7E"/>
    <w:rsid w:val="00EA421D"/>
    <w:rsid w:val="00EA42E9"/>
    <w:rsid w:val="00EA5E76"/>
    <w:rsid w:val="00EA72EC"/>
    <w:rsid w:val="00EB11CB"/>
    <w:rsid w:val="00EB20F9"/>
    <w:rsid w:val="00EB275A"/>
    <w:rsid w:val="00EB4BED"/>
    <w:rsid w:val="00EB603B"/>
    <w:rsid w:val="00EB6755"/>
    <w:rsid w:val="00EB715F"/>
    <w:rsid w:val="00EB729B"/>
    <w:rsid w:val="00EB786A"/>
    <w:rsid w:val="00EC0807"/>
    <w:rsid w:val="00EC1578"/>
    <w:rsid w:val="00EC1C72"/>
    <w:rsid w:val="00EC21E6"/>
    <w:rsid w:val="00EC3CC9"/>
    <w:rsid w:val="00EC3D46"/>
    <w:rsid w:val="00EC4A6B"/>
    <w:rsid w:val="00EC4E16"/>
    <w:rsid w:val="00EC6554"/>
    <w:rsid w:val="00EC680A"/>
    <w:rsid w:val="00EC6E82"/>
    <w:rsid w:val="00ED01A1"/>
    <w:rsid w:val="00ED24D4"/>
    <w:rsid w:val="00ED3294"/>
    <w:rsid w:val="00ED5D13"/>
    <w:rsid w:val="00ED74A6"/>
    <w:rsid w:val="00ED7573"/>
    <w:rsid w:val="00ED7CFC"/>
    <w:rsid w:val="00EE09E1"/>
    <w:rsid w:val="00EE2BED"/>
    <w:rsid w:val="00EE374B"/>
    <w:rsid w:val="00EE7005"/>
    <w:rsid w:val="00EE7252"/>
    <w:rsid w:val="00EF1FCF"/>
    <w:rsid w:val="00EF2BF2"/>
    <w:rsid w:val="00EF2DBB"/>
    <w:rsid w:val="00EF6C65"/>
    <w:rsid w:val="00EF6DD7"/>
    <w:rsid w:val="00EF78E8"/>
    <w:rsid w:val="00F001EB"/>
    <w:rsid w:val="00F00866"/>
    <w:rsid w:val="00F03D41"/>
    <w:rsid w:val="00F04B41"/>
    <w:rsid w:val="00F05281"/>
    <w:rsid w:val="00F0702B"/>
    <w:rsid w:val="00F100A7"/>
    <w:rsid w:val="00F11BB5"/>
    <w:rsid w:val="00F1417B"/>
    <w:rsid w:val="00F17722"/>
    <w:rsid w:val="00F20528"/>
    <w:rsid w:val="00F215A6"/>
    <w:rsid w:val="00F21BAE"/>
    <w:rsid w:val="00F22445"/>
    <w:rsid w:val="00F23C6E"/>
    <w:rsid w:val="00F24946"/>
    <w:rsid w:val="00F26418"/>
    <w:rsid w:val="00F300BB"/>
    <w:rsid w:val="00F318AA"/>
    <w:rsid w:val="00F34B99"/>
    <w:rsid w:val="00F374CB"/>
    <w:rsid w:val="00F50C82"/>
    <w:rsid w:val="00F520FB"/>
    <w:rsid w:val="00F5275E"/>
    <w:rsid w:val="00F52DAB"/>
    <w:rsid w:val="00F543F0"/>
    <w:rsid w:val="00F54E29"/>
    <w:rsid w:val="00F5515F"/>
    <w:rsid w:val="00F564B0"/>
    <w:rsid w:val="00F57A10"/>
    <w:rsid w:val="00F76F3C"/>
    <w:rsid w:val="00F77BF4"/>
    <w:rsid w:val="00F81D29"/>
    <w:rsid w:val="00F90395"/>
    <w:rsid w:val="00F91C4D"/>
    <w:rsid w:val="00F91D94"/>
    <w:rsid w:val="00F92FD9"/>
    <w:rsid w:val="00F93028"/>
    <w:rsid w:val="00F95620"/>
    <w:rsid w:val="00F96A95"/>
    <w:rsid w:val="00F96D85"/>
    <w:rsid w:val="00F96DE9"/>
    <w:rsid w:val="00FA2AB8"/>
    <w:rsid w:val="00FA3178"/>
    <w:rsid w:val="00FA3943"/>
    <w:rsid w:val="00FA566A"/>
    <w:rsid w:val="00FA6684"/>
    <w:rsid w:val="00FA731E"/>
    <w:rsid w:val="00FA7405"/>
    <w:rsid w:val="00FA7F48"/>
    <w:rsid w:val="00FA7F6D"/>
    <w:rsid w:val="00FB01CA"/>
    <w:rsid w:val="00FB1D4F"/>
    <w:rsid w:val="00FB2B38"/>
    <w:rsid w:val="00FB3E22"/>
    <w:rsid w:val="00FB71AF"/>
    <w:rsid w:val="00FC43AA"/>
    <w:rsid w:val="00FC6358"/>
    <w:rsid w:val="00FC69D1"/>
    <w:rsid w:val="00FC6F55"/>
    <w:rsid w:val="00FD212B"/>
    <w:rsid w:val="00FD320D"/>
    <w:rsid w:val="00FE23DE"/>
    <w:rsid w:val="00FE3A14"/>
    <w:rsid w:val="00FE46E7"/>
    <w:rsid w:val="00FE58F4"/>
    <w:rsid w:val="00FE5CD9"/>
    <w:rsid w:val="00FE7307"/>
    <w:rsid w:val="00FE7C3F"/>
    <w:rsid w:val="00FF0F43"/>
    <w:rsid w:val="00FF1B46"/>
    <w:rsid w:val="00FF22D4"/>
    <w:rsid w:val="00FF2A94"/>
    <w:rsid w:val="014538BA"/>
    <w:rsid w:val="01926FDA"/>
    <w:rsid w:val="022031B4"/>
    <w:rsid w:val="02BE2E59"/>
    <w:rsid w:val="03217B69"/>
    <w:rsid w:val="032865B0"/>
    <w:rsid w:val="05DA664D"/>
    <w:rsid w:val="061270E6"/>
    <w:rsid w:val="06281947"/>
    <w:rsid w:val="0686594C"/>
    <w:rsid w:val="07812A3C"/>
    <w:rsid w:val="082011F0"/>
    <w:rsid w:val="08C84DAC"/>
    <w:rsid w:val="095B2928"/>
    <w:rsid w:val="096F3207"/>
    <w:rsid w:val="09F21A23"/>
    <w:rsid w:val="0BF71DAF"/>
    <w:rsid w:val="0C332F42"/>
    <w:rsid w:val="0C5E4DCA"/>
    <w:rsid w:val="0C993331"/>
    <w:rsid w:val="0D3E65B6"/>
    <w:rsid w:val="0DF74520"/>
    <w:rsid w:val="0E7B501C"/>
    <w:rsid w:val="0FAB5F6C"/>
    <w:rsid w:val="0FDA7A1E"/>
    <w:rsid w:val="100C1E91"/>
    <w:rsid w:val="102C76B3"/>
    <w:rsid w:val="10865709"/>
    <w:rsid w:val="10AE67C7"/>
    <w:rsid w:val="11DB5064"/>
    <w:rsid w:val="12137217"/>
    <w:rsid w:val="123C4338"/>
    <w:rsid w:val="12863E8D"/>
    <w:rsid w:val="13391184"/>
    <w:rsid w:val="134915F3"/>
    <w:rsid w:val="13F57BD3"/>
    <w:rsid w:val="141334FE"/>
    <w:rsid w:val="14F2561C"/>
    <w:rsid w:val="15052DA9"/>
    <w:rsid w:val="154B57BA"/>
    <w:rsid w:val="15981927"/>
    <w:rsid w:val="16730284"/>
    <w:rsid w:val="17177BBF"/>
    <w:rsid w:val="171D2B66"/>
    <w:rsid w:val="182C4B8E"/>
    <w:rsid w:val="19D439EF"/>
    <w:rsid w:val="1A02221E"/>
    <w:rsid w:val="1A454510"/>
    <w:rsid w:val="1A810EED"/>
    <w:rsid w:val="1AB62E35"/>
    <w:rsid w:val="1B2736F2"/>
    <w:rsid w:val="1BAC27E8"/>
    <w:rsid w:val="1D3F7112"/>
    <w:rsid w:val="1D965BC0"/>
    <w:rsid w:val="1D9A1F0A"/>
    <w:rsid w:val="1DBC63E7"/>
    <w:rsid w:val="1DDC72C5"/>
    <w:rsid w:val="1DF06BD4"/>
    <w:rsid w:val="1E553E0E"/>
    <w:rsid w:val="1E592455"/>
    <w:rsid w:val="1E9745F3"/>
    <w:rsid w:val="1F5B2E23"/>
    <w:rsid w:val="1F98704F"/>
    <w:rsid w:val="1FEC6D1D"/>
    <w:rsid w:val="20A976C4"/>
    <w:rsid w:val="21091F11"/>
    <w:rsid w:val="210F1669"/>
    <w:rsid w:val="21CD07B3"/>
    <w:rsid w:val="21D52560"/>
    <w:rsid w:val="22142140"/>
    <w:rsid w:val="22B64419"/>
    <w:rsid w:val="22F40801"/>
    <w:rsid w:val="22F5112B"/>
    <w:rsid w:val="23E718E3"/>
    <w:rsid w:val="24DE608A"/>
    <w:rsid w:val="283616EF"/>
    <w:rsid w:val="291B75A8"/>
    <w:rsid w:val="29B24FD2"/>
    <w:rsid w:val="29C671E3"/>
    <w:rsid w:val="29FF267B"/>
    <w:rsid w:val="2A043BBD"/>
    <w:rsid w:val="2A382CB3"/>
    <w:rsid w:val="2A67601F"/>
    <w:rsid w:val="2AF71D36"/>
    <w:rsid w:val="2B6F6391"/>
    <w:rsid w:val="2BE2426C"/>
    <w:rsid w:val="2E287221"/>
    <w:rsid w:val="2EA74B17"/>
    <w:rsid w:val="2EC6367F"/>
    <w:rsid w:val="2FB04FA4"/>
    <w:rsid w:val="2FBA231A"/>
    <w:rsid w:val="309B06AC"/>
    <w:rsid w:val="313E348C"/>
    <w:rsid w:val="316437B0"/>
    <w:rsid w:val="325B1E3B"/>
    <w:rsid w:val="33113F4C"/>
    <w:rsid w:val="34852A57"/>
    <w:rsid w:val="34D47F6B"/>
    <w:rsid w:val="35310628"/>
    <w:rsid w:val="35425414"/>
    <w:rsid w:val="356200A1"/>
    <w:rsid w:val="35AC286E"/>
    <w:rsid w:val="36D903F8"/>
    <w:rsid w:val="37217B5C"/>
    <w:rsid w:val="37255110"/>
    <w:rsid w:val="37271A2B"/>
    <w:rsid w:val="37EC0564"/>
    <w:rsid w:val="38766297"/>
    <w:rsid w:val="38977104"/>
    <w:rsid w:val="39E72DBD"/>
    <w:rsid w:val="3A10304D"/>
    <w:rsid w:val="3A6B1E6F"/>
    <w:rsid w:val="3B5F7A2B"/>
    <w:rsid w:val="3C3B4FDF"/>
    <w:rsid w:val="3C5C51C2"/>
    <w:rsid w:val="3D9A3A76"/>
    <w:rsid w:val="3DE41EC6"/>
    <w:rsid w:val="3EAE753E"/>
    <w:rsid w:val="3FA218E7"/>
    <w:rsid w:val="40A77DC9"/>
    <w:rsid w:val="412D70FE"/>
    <w:rsid w:val="43305190"/>
    <w:rsid w:val="43832DFE"/>
    <w:rsid w:val="44910978"/>
    <w:rsid w:val="44956F93"/>
    <w:rsid w:val="45325586"/>
    <w:rsid w:val="457011B3"/>
    <w:rsid w:val="45AA074D"/>
    <w:rsid w:val="45B03F64"/>
    <w:rsid w:val="46080139"/>
    <w:rsid w:val="465D2FB0"/>
    <w:rsid w:val="4672311A"/>
    <w:rsid w:val="46E32A8E"/>
    <w:rsid w:val="46E6047B"/>
    <w:rsid w:val="47B0742C"/>
    <w:rsid w:val="47C27820"/>
    <w:rsid w:val="47D468F0"/>
    <w:rsid w:val="47D70589"/>
    <w:rsid w:val="486E0FF2"/>
    <w:rsid w:val="486F0D93"/>
    <w:rsid w:val="494476DB"/>
    <w:rsid w:val="49D40E6B"/>
    <w:rsid w:val="49EC3FFA"/>
    <w:rsid w:val="4A201EF6"/>
    <w:rsid w:val="4A506909"/>
    <w:rsid w:val="4ADF1376"/>
    <w:rsid w:val="4B3F63AB"/>
    <w:rsid w:val="4B52157A"/>
    <w:rsid w:val="4BDA43E6"/>
    <w:rsid w:val="4C1E3D24"/>
    <w:rsid w:val="4C762EFF"/>
    <w:rsid w:val="4CD339C0"/>
    <w:rsid w:val="4D9D2228"/>
    <w:rsid w:val="4DB901BE"/>
    <w:rsid w:val="4E033710"/>
    <w:rsid w:val="4E0E2C25"/>
    <w:rsid w:val="4E66215D"/>
    <w:rsid w:val="4E9E788D"/>
    <w:rsid w:val="50D06E80"/>
    <w:rsid w:val="52655D69"/>
    <w:rsid w:val="529F7E87"/>
    <w:rsid w:val="52A77D1A"/>
    <w:rsid w:val="52ED17D2"/>
    <w:rsid w:val="531E71EE"/>
    <w:rsid w:val="53211D30"/>
    <w:rsid w:val="53E35BC1"/>
    <w:rsid w:val="53E44061"/>
    <w:rsid w:val="554027C6"/>
    <w:rsid w:val="55601DE8"/>
    <w:rsid w:val="557D443C"/>
    <w:rsid w:val="55F630FF"/>
    <w:rsid w:val="566118CC"/>
    <w:rsid w:val="56962CFC"/>
    <w:rsid w:val="56A17F1A"/>
    <w:rsid w:val="57705D8E"/>
    <w:rsid w:val="579854E0"/>
    <w:rsid w:val="579C1CD8"/>
    <w:rsid w:val="57A35F14"/>
    <w:rsid w:val="580C5236"/>
    <w:rsid w:val="59342805"/>
    <w:rsid w:val="598B16C7"/>
    <w:rsid w:val="59F03845"/>
    <w:rsid w:val="5A0C272A"/>
    <w:rsid w:val="5B3D3F8A"/>
    <w:rsid w:val="5C834C15"/>
    <w:rsid w:val="5D771C83"/>
    <w:rsid w:val="5E2E33B3"/>
    <w:rsid w:val="5E3F7F64"/>
    <w:rsid w:val="5E7A3093"/>
    <w:rsid w:val="5E801E84"/>
    <w:rsid w:val="5E9B7945"/>
    <w:rsid w:val="5F50746E"/>
    <w:rsid w:val="5F645F89"/>
    <w:rsid w:val="604D70A6"/>
    <w:rsid w:val="60F17590"/>
    <w:rsid w:val="60F31CBA"/>
    <w:rsid w:val="626415CF"/>
    <w:rsid w:val="62C20F6A"/>
    <w:rsid w:val="635936A0"/>
    <w:rsid w:val="63655E42"/>
    <w:rsid w:val="636E15AB"/>
    <w:rsid w:val="63C87B86"/>
    <w:rsid w:val="641066DF"/>
    <w:rsid w:val="64AA7EE6"/>
    <w:rsid w:val="663515B7"/>
    <w:rsid w:val="665530B8"/>
    <w:rsid w:val="66AC7A42"/>
    <w:rsid w:val="68483FE5"/>
    <w:rsid w:val="69273C52"/>
    <w:rsid w:val="69BA6783"/>
    <w:rsid w:val="6AC65B0B"/>
    <w:rsid w:val="6B272C8C"/>
    <w:rsid w:val="6B353C11"/>
    <w:rsid w:val="6C1F2B88"/>
    <w:rsid w:val="6D325428"/>
    <w:rsid w:val="6DFE7F0C"/>
    <w:rsid w:val="6E214570"/>
    <w:rsid w:val="6E8F3553"/>
    <w:rsid w:val="6EEE5E15"/>
    <w:rsid w:val="701E2184"/>
    <w:rsid w:val="70F15B33"/>
    <w:rsid w:val="714A1482"/>
    <w:rsid w:val="71AA71EF"/>
    <w:rsid w:val="73A17823"/>
    <w:rsid w:val="73C95DAB"/>
    <w:rsid w:val="7407365B"/>
    <w:rsid w:val="755B685B"/>
    <w:rsid w:val="771432E7"/>
    <w:rsid w:val="773A5AF5"/>
    <w:rsid w:val="77A91274"/>
    <w:rsid w:val="78C8212D"/>
    <w:rsid w:val="78E8777B"/>
    <w:rsid w:val="79B05D52"/>
    <w:rsid w:val="7B7938C6"/>
    <w:rsid w:val="7BC470DC"/>
    <w:rsid w:val="7BF21A15"/>
    <w:rsid w:val="7C0B2CD2"/>
    <w:rsid w:val="7D961A86"/>
    <w:rsid w:val="7DC9403A"/>
    <w:rsid w:val="7DEF5B54"/>
    <w:rsid w:val="7E7C34A4"/>
    <w:rsid w:val="7F9C4C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2">
    <w:name w:val="Default Paragraph Font"/>
    <w:semiHidden/>
    <w:qFormat/>
    <w:uiPriority w:val="0"/>
  </w:style>
  <w:style w:type="table" w:default="1" w:styleId="3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qFormat/>
    <w:uiPriority w:val="39"/>
    <w:pPr>
      <w:tabs>
        <w:tab w:val="right" w:leader="dot" w:pos="9241"/>
      </w:tabs>
      <w:ind w:firstLine="102"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Balloon Text"/>
    <w:basedOn w:val="1"/>
    <w:link w:val="38"/>
    <w:qFormat/>
    <w:uiPriority w:val="0"/>
    <w:rPr>
      <w:sz w:val="18"/>
      <w:szCs w:val="18"/>
    </w:r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qFormat/>
    <w:uiPriority w:val="0"/>
    <w:pPr>
      <w:snapToGrid w:val="0"/>
      <w:jc w:val="left"/>
    </w:pPr>
    <w:rPr>
      <w:sz w:val="18"/>
      <w:szCs w:val="18"/>
    </w:rPr>
  </w:style>
  <w:style w:type="paragraph" w:styleId="17">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18">
    <w:name w:val="toc 4"/>
    <w:basedOn w:val="1"/>
    <w:next w:val="1"/>
    <w:semiHidden/>
    <w:qFormat/>
    <w:uiPriority w:val="0"/>
    <w:pPr>
      <w:tabs>
        <w:tab w:val="right" w:leader="dot" w:pos="9241"/>
      </w:tabs>
      <w:ind w:firstLine="198"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3"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1"/>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Normal (Web)"/>
    <w:basedOn w:val="1"/>
    <w:qFormat/>
    <w:uiPriority w:val="0"/>
    <w:rPr>
      <w:sz w:val="24"/>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endnote reference"/>
    <w:semiHidden/>
    <w:qFormat/>
    <w:uiPriority w:val="0"/>
    <w:rPr>
      <w:vertAlign w:val="superscript"/>
    </w:rPr>
  </w:style>
  <w:style w:type="character" w:styleId="34">
    <w:name w:val="page number"/>
    <w:qFormat/>
    <w:uiPriority w:val="0"/>
    <w:rPr>
      <w:rFonts w:ascii="Times New Roman" w:hAnsi="Times New Roman" w:eastAsia="宋体"/>
      <w:sz w:val="18"/>
    </w:rPr>
  </w:style>
  <w:style w:type="character" w:styleId="35">
    <w:name w:val="FollowedHyperlink"/>
    <w:qFormat/>
    <w:uiPriority w:val="0"/>
    <w:rPr>
      <w:color w:val="800080"/>
      <w:u w:val="single"/>
    </w:rPr>
  </w:style>
  <w:style w:type="character" w:styleId="36">
    <w:name w:val="Hyperlink"/>
    <w:qFormat/>
    <w:uiPriority w:val="99"/>
    <w:rPr>
      <w:color w:val="0000FF"/>
      <w:spacing w:val="0"/>
      <w:w w:val="100"/>
      <w:szCs w:val="21"/>
      <w:u w:val="single"/>
    </w:rPr>
  </w:style>
  <w:style w:type="character" w:styleId="37">
    <w:name w:val="footnote reference"/>
    <w:semiHidden/>
    <w:qFormat/>
    <w:uiPriority w:val="0"/>
    <w:rPr>
      <w:vertAlign w:val="superscript"/>
    </w:rPr>
  </w:style>
  <w:style w:type="character" w:customStyle="1" w:styleId="38">
    <w:name w:val="批注框文本 字符"/>
    <w:link w:val="14"/>
    <w:qFormat/>
    <w:uiPriority w:val="0"/>
    <w:rPr>
      <w:kern w:val="2"/>
      <w:sz w:val="18"/>
      <w:szCs w:val="18"/>
    </w:rPr>
  </w:style>
  <w:style w:type="character" w:customStyle="1" w:styleId="39">
    <w:name w:val="段 Char"/>
    <w:link w:val="21"/>
    <w:qFormat/>
    <w:uiPriority w:val="0"/>
    <w:rPr>
      <w:rFonts w:ascii="宋体"/>
      <w:sz w:val="21"/>
      <w:lang w:val="en-US" w:eastAsia="zh-CN" w:bidi="ar-SA"/>
    </w:rPr>
  </w:style>
  <w:style w:type="character" w:customStyle="1" w:styleId="40">
    <w:name w:val="二级条标题 Char"/>
    <w:link w:val="41"/>
    <w:qFormat/>
    <w:locked/>
    <w:uiPriority w:val="0"/>
    <w:rPr>
      <w:lang w:bidi="ar-SA"/>
    </w:rPr>
  </w:style>
  <w:style w:type="paragraph" w:customStyle="1" w:styleId="41">
    <w:name w:val="二级条标题"/>
    <w:basedOn w:val="42"/>
    <w:next w:val="21"/>
    <w:link w:val="40"/>
    <w:qFormat/>
    <w:uiPriority w:val="0"/>
    <w:pPr>
      <w:numPr>
        <w:ilvl w:val="1"/>
        <w:numId w:val="2"/>
      </w:numPr>
      <w:spacing w:before="50" w:after="50"/>
      <w:outlineLvl w:val="3"/>
    </w:pPr>
  </w:style>
  <w:style w:type="paragraph" w:customStyle="1" w:styleId="42">
    <w:name w:val="一级条标题"/>
    <w:next w:val="21"/>
    <w:link w:val="43"/>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43">
    <w:name w:val="一级条标题 Char"/>
    <w:link w:val="42"/>
    <w:qFormat/>
    <w:uiPriority w:val="0"/>
    <w:rPr>
      <w:rFonts w:ascii="黑体" w:eastAsia="黑体"/>
      <w:sz w:val="21"/>
      <w:szCs w:val="21"/>
      <w:lang w:bidi="ar-SA"/>
    </w:rPr>
  </w:style>
  <w:style w:type="character" w:customStyle="1" w:styleId="44">
    <w:name w:val="附录公式 Char"/>
    <w:link w:val="45"/>
    <w:qFormat/>
    <w:uiPriority w:val="0"/>
    <w:rPr>
      <w:lang w:val="en-US" w:eastAsia="zh-CN" w:bidi="ar-SA"/>
    </w:rPr>
  </w:style>
  <w:style w:type="paragraph" w:customStyle="1" w:styleId="45">
    <w:name w:val="附录公式"/>
    <w:basedOn w:val="21"/>
    <w:next w:val="21"/>
    <w:link w:val="44"/>
    <w:qFormat/>
    <w:uiPriority w:val="0"/>
  </w:style>
  <w:style w:type="character" w:customStyle="1" w:styleId="46">
    <w:name w:val="发布"/>
    <w:qFormat/>
    <w:uiPriority w:val="0"/>
    <w:rPr>
      <w:rFonts w:ascii="黑体" w:eastAsia="黑体"/>
      <w:spacing w:val="85"/>
      <w:w w:val="100"/>
      <w:position w:val="3"/>
      <w:sz w:val="28"/>
      <w:szCs w:val="28"/>
    </w:rPr>
  </w:style>
  <w:style w:type="character" w:customStyle="1" w:styleId="47">
    <w:name w:val="首示例 Char"/>
    <w:link w:val="48"/>
    <w:qFormat/>
    <w:uiPriority w:val="0"/>
    <w:rPr>
      <w:rFonts w:ascii="宋体" w:hAnsi="宋体"/>
      <w:kern w:val="2"/>
      <w:sz w:val="18"/>
      <w:szCs w:val="18"/>
      <w:lang w:val="en-US" w:eastAsia="zh-CN" w:bidi="ar-SA"/>
    </w:rPr>
  </w:style>
  <w:style w:type="paragraph" w:customStyle="1" w:styleId="48">
    <w:name w:val="首示例"/>
    <w:next w:val="21"/>
    <w:link w:val="47"/>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paragraph" w:customStyle="1" w:styleId="49">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50">
    <w:name w:val="章标题"/>
    <w:next w:val="21"/>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2">
    <w:name w:val="附录三级条标题"/>
    <w:basedOn w:val="53"/>
    <w:next w:val="21"/>
    <w:qFormat/>
    <w:uiPriority w:val="0"/>
    <w:pPr>
      <w:numPr>
        <w:ilvl w:val="4"/>
        <w:numId w:val="5"/>
      </w:numPr>
      <w:tabs>
        <w:tab w:val="left" w:pos="360"/>
      </w:tabs>
      <w:outlineLvl w:val="4"/>
    </w:pPr>
  </w:style>
  <w:style w:type="paragraph" w:customStyle="1" w:styleId="53">
    <w:name w:val="附录二级条标题"/>
    <w:basedOn w:val="1"/>
    <w:next w:val="21"/>
    <w:qFormat/>
    <w:uiPriority w:val="0"/>
    <w:pPr>
      <w:widowControl/>
      <w:numPr>
        <w:ilvl w:val="3"/>
        <w:numId w:val="5"/>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54">
    <w:name w:val="封面标准文稿编辑信息"/>
    <w:basedOn w:val="55"/>
    <w:qFormat/>
    <w:uiPriority w:val="0"/>
    <w:pPr>
      <w:spacing w:before="180" w:line="180" w:lineRule="exact"/>
    </w:pPr>
    <w:rPr>
      <w:sz w:val="21"/>
    </w:rPr>
  </w:style>
  <w:style w:type="paragraph" w:customStyle="1" w:styleId="55">
    <w:name w:val="封面标准文稿类别"/>
    <w:basedOn w:val="56"/>
    <w:qFormat/>
    <w:uiPriority w:val="0"/>
    <w:pPr>
      <w:spacing w:after="160" w:line="240" w:lineRule="auto"/>
    </w:pPr>
    <w:rPr>
      <w:sz w:val="24"/>
    </w:rPr>
  </w:style>
  <w:style w:type="paragraph" w:customStyle="1" w:styleId="56">
    <w:name w:val="封面一致性程度标识"/>
    <w:basedOn w:val="57"/>
    <w:qFormat/>
    <w:uiPriority w:val="0"/>
    <w:pPr>
      <w:spacing w:before="440"/>
    </w:pPr>
    <w:rPr>
      <w:rFonts w:ascii="宋体" w:eastAsia="宋体"/>
    </w:rPr>
  </w:style>
  <w:style w:type="paragraph" w:customStyle="1" w:styleId="57">
    <w:name w:val="封面标准英文名称"/>
    <w:basedOn w:val="58"/>
    <w:qFormat/>
    <w:uiPriority w:val="0"/>
    <w:pPr>
      <w:spacing w:before="370" w:line="400" w:lineRule="exact"/>
    </w:pPr>
    <w:rPr>
      <w:rFonts w:ascii="Times New Roman"/>
      <w:sz w:val="28"/>
      <w:szCs w:val="28"/>
    </w:rPr>
  </w:style>
  <w:style w:type="paragraph" w:customStyle="1" w:styleId="5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60">
    <w:name w:val="图标脚注说明"/>
    <w:basedOn w:val="21"/>
    <w:qFormat/>
    <w:uiPriority w:val="0"/>
    <w:pPr>
      <w:ind w:left="840" w:hanging="420" w:firstLineChars="0"/>
    </w:pPr>
    <w:rPr>
      <w:sz w:val="18"/>
      <w:szCs w:val="18"/>
    </w:rPr>
  </w:style>
  <w:style w:type="paragraph" w:customStyle="1" w:styleId="61">
    <w:name w:val="示例后文字"/>
    <w:basedOn w:val="21"/>
    <w:next w:val="21"/>
    <w:qFormat/>
    <w:uiPriority w:val="0"/>
    <w:pPr>
      <w:ind w:firstLine="360"/>
    </w:pPr>
    <w:rPr>
      <w:sz w:val="18"/>
    </w:rPr>
  </w:style>
  <w:style w:type="paragraph" w:customStyle="1" w:styleId="62">
    <w:name w:val="三级条标题"/>
    <w:basedOn w:val="41"/>
    <w:next w:val="21"/>
    <w:qFormat/>
    <w:uiPriority w:val="0"/>
    <w:pPr>
      <w:numPr>
        <w:ilvl w:val="3"/>
        <w:numId w:val="2"/>
      </w:numPr>
      <w:outlineLvl w:val="4"/>
    </w:pPr>
  </w:style>
  <w:style w:type="paragraph" w:customStyle="1" w:styleId="6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64">
    <w:name w:val="标准书眉一"/>
    <w:qFormat/>
    <w:uiPriority w:val="0"/>
    <w:pPr>
      <w:jc w:val="both"/>
    </w:pPr>
    <w:rPr>
      <w:rFonts w:ascii="Times New Roman" w:hAnsi="Times New Roman" w:eastAsia="宋体" w:cs="Times New Roman"/>
      <w:lang w:val="en-US" w:eastAsia="zh-CN" w:bidi="ar-SA"/>
    </w:rPr>
  </w:style>
  <w:style w:type="paragraph" w:customStyle="1" w:styleId="6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66">
    <w:name w:val="列项◆（三级）"/>
    <w:basedOn w:val="1"/>
    <w:qFormat/>
    <w:uiPriority w:val="0"/>
    <w:pPr>
      <w:numPr>
        <w:ilvl w:val="2"/>
        <w:numId w:val="6"/>
      </w:numPr>
    </w:pPr>
    <w:rPr>
      <w:rFonts w:ascii="宋体"/>
      <w:szCs w:val="21"/>
    </w:rPr>
  </w:style>
  <w:style w:type="paragraph" w:customStyle="1" w:styleId="67">
    <w:name w:val="正文公式编号制表符"/>
    <w:basedOn w:val="21"/>
    <w:next w:val="21"/>
    <w:qFormat/>
    <w:uiPriority w:val="0"/>
    <w:pPr>
      <w:ind w:firstLine="0" w:firstLineChars="0"/>
    </w:pPr>
  </w:style>
  <w:style w:type="paragraph" w:customStyle="1" w:styleId="68">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69">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0">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71">
    <w:name w:val="附录四级条标题"/>
    <w:basedOn w:val="52"/>
    <w:next w:val="21"/>
    <w:qFormat/>
    <w:uiPriority w:val="0"/>
    <w:pPr>
      <w:numPr>
        <w:ilvl w:val="5"/>
        <w:numId w:val="5"/>
      </w:numPr>
      <w:outlineLvl w:val="5"/>
    </w:pPr>
  </w:style>
  <w:style w:type="paragraph" w:customStyle="1" w:styleId="72">
    <w:name w:val="五级条标题"/>
    <w:basedOn w:val="73"/>
    <w:next w:val="21"/>
    <w:qFormat/>
    <w:uiPriority w:val="0"/>
    <w:pPr>
      <w:numPr>
        <w:ilvl w:val="5"/>
        <w:numId w:val="2"/>
      </w:numPr>
      <w:outlineLvl w:val="6"/>
    </w:pPr>
  </w:style>
  <w:style w:type="paragraph" w:customStyle="1" w:styleId="73">
    <w:name w:val="四级条标题"/>
    <w:basedOn w:val="62"/>
    <w:next w:val="21"/>
    <w:qFormat/>
    <w:uiPriority w:val="0"/>
    <w:pPr>
      <w:numPr>
        <w:ilvl w:val="4"/>
        <w:numId w:val="2"/>
      </w:numPr>
      <w:outlineLvl w:val="5"/>
    </w:pPr>
  </w:style>
  <w:style w:type="paragraph" w:customStyle="1" w:styleId="7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5">
    <w:name w:val="附录五级条标题"/>
    <w:basedOn w:val="71"/>
    <w:next w:val="21"/>
    <w:qFormat/>
    <w:uiPriority w:val="0"/>
    <w:pPr>
      <w:numPr>
        <w:ilvl w:val="6"/>
        <w:numId w:val="5"/>
      </w:numPr>
      <w:outlineLvl w:val="6"/>
    </w:pPr>
  </w:style>
  <w:style w:type="paragraph" w:customStyle="1" w:styleId="76">
    <w:name w:val="终结线"/>
    <w:basedOn w:val="1"/>
    <w:qFormat/>
    <w:uiPriority w:val="0"/>
    <w:pPr>
      <w:framePr w:hSpace="181" w:vSpace="181" w:wrap="around" w:vAnchor="text" w:hAnchor="margin" w:xAlign="center" w:y="285"/>
    </w:pPr>
  </w:style>
  <w:style w:type="paragraph" w:customStyle="1" w:styleId="77">
    <w:name w:val="附录标题"/>
    <w:basedOn w:val="21"/>
    <w:next w:val="21"/>
    <w:qFormat/>
    <w:uiPriority w:val="0"/>
    <w:pPr>
      <w:ind w:firstLine="0" w:firstLineChars="0"/>
      <w:jc w:val="center"/>
    </w:pPr>
    <w:rPr>
      <w:rFonts w:ascii="黑体" w:eastAsia="黑体"/>
    </w:rPr>
  </w:style>
  <w:style w:type="paragraph" w:customStyle="1" w:styleId="78">
    <w:name w:val="示例"/>
    <w:next w:val="51"/>
    <w:qFormat/>
    <w:uiPriority w:val="0"/>
    <w:pPr>
      <w:widowControl w:val="0"/>
      <w:numPr>
        <w:ilvl w:val="0"/>
        <w:numId w:val="8"/>
      </w:numPr>
      <w:jc w:val="both"/>
    </w:pPr>
    <w:rPr>
      <w:rFonts w:ascii="宋体" w:hAnsi="Times New Roman" w:eastAsia="宋体" w:cs="Times New Roman"/>
      <w:sz w:val="18"/>
      <w:szCs w:val="18"/>
      <w:lang w:val="en-US" w:eastAsia="zh-CN" w:bidi="ar-SA"/>
    </w:rPr>
  </w:style>
  <w:style w:type="paragraph" w:customStyle="1" w:styleId="7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2">
    <w:name w:val="四级无"/>
    <w:basedOn w:val="73"/>
    <w:qFormat/>
    <w:uiPriority w:val="0"/>
    <w:pPr>
      <w:spacing w:before="0" w:beforeLines="0" w:after="0" w:afterLines="0"/>
    </w:pPr>
    <w:rPr>
      <w:rFonts w:ascii="宋体" w:eastAsia="宋体"/>
    </w:rPr>
  </w:style>
  <w:style w:type="paragraph" w:customStyle="1" w:styleId="83">
    <w:name w:val="附录表标号"/>
    <w:basedOn w:val="1"/>
    <w:next w:val="21"/>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84">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85">
    <w:name w:val="注：（正文）"/>
    <w:basedOn w:val="86"/>
    <w:next w:val="21"/>
    <w:qFormat/>
    <w:uiPriority w:val="0"/>
  </w:style>
  <w:style w:type="paragraph" w:customStyle="1" w:styleId="86">
    <w:name w:val="注："/>
    <w:next w:val="21"/>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87">
    <w:name w:val=" Char"/>
    <w:basedOn w:val="1"/>
    <w:qFormat/>
    <w:uiPriority w:val="0"/>
    <w:rPr>
      <w:rFonts w:ascii="Tahoma" w:hAnsi="Tahoma"/>
    </w:rPr>
  </w:style>
  <w:style w:type="paragraph" w:customStyle="1" w:styleId="88">
    <w:name w:val="封面标准英文名称2"/>
    <w:basedOn w:val="57"/>
    <w:qFormat/>
    <w:uiPriority w:val="0"/>
    <w:pPr>
      <w:framePr w:y="4469"/>
    </w:pPr>
  </w:style>
  <w:style w:type="paragraph" w:customStyle="1" w:styleId="8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0">
    <w:name w:val="附录五级无"/>
    <w:basedOn w:val="75"/>
    <w:qFormat/>
    <w:uiPriority w:val="0"/>
    <w:pPr>
      <w:tabs>
        <w:tab w:val="clear" w:pos="360"/>
      </w:tabs>
      <w:spacing w:before="0" w:beforeLines="0" w:after="0" w:afterLines="0"/>
    </w:pPr>
    <w:rPr>
      <w:rFonts w:ascii="宋体" w:eastAsia="宋体"/>
      <w:szCs w:val="21"/>
    </w:rPr>
  </w:style>
  <w:style w:type="paragraph" w:customStyle="1" w:styleId="91">
    <w:name w:val="五级无"/>
    <w:basedOn w:val="72"/>
    <w:qFormat/>
    <w:uiPriority w:val="0"/>
    <w:pPr>
      <w:spacing w:before="0" w:beforeLines="0" w:after="0" w:afterLines="0"/>
    </w:pPr>
    <w:rPr>
      <w:rFonts w:ascii="宋体" w:eastAsia="宋体"/>
    </w:rPr>
  </w:style>
  <w:style w:type="paragraph" w:customStyle="1" w:styleId="92">
    <w:name w:val="二级无"/>
    <w:basedOn w:val="41"/>
    <w:qFormat/>
    <w:uiPriority w:val="0"/>
    <w:pPr>
      <w:spacing w:before="0" w:beforeLines="0" w:after="0" w:afterLines="0"/>
      <w:ind w:left="0" w:firstLine="0"/>
    </w:pPr>
    <w:rPr>
      <w:rFonts w:ascii="宋体" w:eastAsia="宋体"/>
    </w:rPr>
  </w:style>
  <w:style w:type="paragraph" w:customStyle="1" w:styleId="93">
    <w:name w:val="标准书眉_偶数页"/>
    <w:basedOn w:val="81"/>
    <w:next w:val="1"/>
    <w:qFormat/>
    <w:uiPriority w:val="0"/>
    <w:pPr>
      <w:jc w:val="left"/>
    </w:pPr>
    <w:rPr>
      <w:rFonts w:ascii="黑体" w:eastAsia="黑体"/>
    </w:rPr>
  </w:style>
  <w:style w:type="paragraph" w:customStyle="1" w:styleId="94">
    <w:name w:val="三级无"/>
    <w:basedOn w:val="62"/>
    <w:qFormat/>
    <w:uiPriority w:val="0"/>
    <w:pPr>
      <w:spacing w:before="0" w:beforeLines="0" w:after="0" w:afterLines="0"/>
    </w:pPr>
    <w:rPr>
      <w:rFonts w:ascii="宋体" w:eastAsia="宋体"/>
    </w:rPr>
  </w:style>
  <w:style w:type="paragraph" w:customStyle="1" w:styleId="9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96">
    <w:name w:val="条文脚注"/>
    <w:basedOn w:val="22"/>
    <w:qFormat/>
    <w:uiPriority w:val="0"/>
    <w:pPr>
      <w:numPr>
        <w:ilvl w:val="0"/>
        <w:numId w:val="0"/>
      </w:numPr>
      <w:jc w:val="both"/>
    </w:pPr>
    <w:rPr>
      <w:rFonts w:ascii="宋体"/>
    </w:rPr>
  </w:style>
  <w:style w:type="paragraph" w:customStyle="1" w:styleId="9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98">
    <w:name w:val="封面标准文稿类别2"/>
    <w:basedOn w:val="55"/>
    <w:qFormat/>
    <w:uiPriority w:val="0"/>
    <w:pPr>
      <w:framePr w:y="4469"/>
    </w:pPr>
  </w:style>
  <w:style w:type="paragraph" w:customStyle="1" w:styleId="99">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00">
    <w:name w:val="列项●（二级）"/>
    <w:qFormat/>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101">
    <w:name w:val="图表脚注说明"/>
    <w:basedOn w:val="1"/>
    <w:qFormat/>
    <w:uiPriority w:val="0"/>
    <w:pPr>
      <w:numPr>
        <w:ilvl w:val="0"/>
        <w:numId w:val="11"/>
      </w:numPr>
    </w:pPr>
    <w:rPr>
      <w:rFonts w:ascii="宋体"/>
      <w:sz w:val="18"/>
      <w:szCs w:val="18"/>
    </w:rPr>
  </w:style>
  <w:style w:type="paragraph" w:customStyle="1" w:styleId="102">
    <w:name w:val="其他发布部门"/>
    <w:basedOn w:val="99"/>
    <w:qFormat/>
    <w:uiPriority w:val="0"/>
    <w:pPr>
      <w:framePr w:y="15310"/>
      <w:spacing w:line="0" w:lineRule="atLeast"/>
    </w:pPr>
    <w:rPr>
      <w:rFonts w:ascii="黑体" w:eastAsia="黑体"/>
      <w:b w:val="0"/>
    </w:rPr>
  </w:style>
  <w:style w:type="paragraph" w:customStyle="1" w:styleId="103">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04">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105">
    <w:name w:val="封面一致性程度标识2"/>
    <w:basedOn w:val="56"/>
    <w:qFormat/>
    <w:uiPriority w:val="0"/>
    <w:pPr>
      <w:framePr w:y="4469"/>
    </w:pPr>
  </w:style>
  <w:style w:type="paragraph" w:customStyle="1" w:styleId="106">
    <w:name w:val="示例×："/>
    <w:basedOn w:val="50"/>
    <w:qFormat/>
    <w:uiPriority w:val="0"/>
    <w:pPr>
      <w:numPr>
        <w:ilvl w:val="0"/>
        <w:numId w:val="12"/>
      </w:numPr>
      <w:spacing w:before="0" w:beforeLines="0" w:after="0" w:afterLines="0"/>
      <w:outlineLvl w:val="9"/>
    </w:pPr>
    <w:rPr>
      <w:rFonts w:ascii="宋体" w:eastAsia="宋体"/>
      <w:sz w:val="18"/>
      <w:szCs w:val="18"/>
    </w:rPr>
  </w:style>
  <w:style w:type="paragraph" w:customStyle="1" w:styleId="107">
    <w:name w:val="一级无"/>
    <w:basedOn w:val="42"/>
    <w:qFormat/>
    <w:uiPriority w:val="0"/>
    <w:pPr>
      <w:spacing w:before="0" w:beforeLines="0" w:after="0" w:afterLines="0"/>
    </w:pPr>
    <w:rPr>
      <w:rFonts w:ascii="宋体" w:eastAsia="宋体"/>
    </w:rPr>
  </w:style>
  <w:style w:type="paragraph" w:customStyle="1" w:styleId="108">
    <w:name w:val="正文图标题"/>
    <w:next w:val="21"/>
    <w:qFormat/>
    <w:uiPriority w:val="0"/>
    <w:pPr>
      <w:numPr>
        <w:ilvl w:val="0"/>
        <w:numId w:val="13"/>
      </w:numPr>
      <w:spacing w:before="156" w:beforeLines="50" w:after="156" w:afterLines="50"/>
      <w:jc w:val="center"/>
    </w:pPr>
    <w:rPr>
      <w:rFonts w:ascii="黑体" w:hAnsi="Times New Roman" w:eastAsia="黑体" w:cs="Times New Roman"/>
      <w:sz w:val="21"/>
      <w:lang w:val="en-US" w:eastAsia="zh-CN" w:bidi="ar-SA"/>
    </w:rPr>
  </w:style>
  <w:style w:type="paragraph" w:customStyle="1" w:styleId="109">
    <w:name w:val="其他标准标志"/>
    <w:basedOn w:val="89"/>
    <w:qFormat/>
    <w:uiPriority w:val="0"/>
    <w:pPr>
      <w:framePr w:w="6101" w:vAnchor="page" w:hAnchor="page" w:x="4673" w:y="942"/>
    </w:pPr>
    <w:rPr>
      <w:w w:val="130"/>
    </w:rPr>
  </w:style>
  <w:style w:type="paragraph" w:customStyle="1" w:styleId="110">
    <w:name w:val="附录图标题"/>
    <w:basedOn w:val="1"/>
    <w:next w:val="21"/>
    <w:qFormat/>
    <w:uiPriority w:val="0"/>
    <w:pPr>
      <w:numPr>
        <w:ilvl w:val="1"/>
        <w:numId w:val="14"/>
      </w:numPr>
      <w:spacing w:before="50" w:beforeLines="50" w:after="50" w:afterLines="50"/>
      <w:jc w:val="center"/>
    </w:pPr>
    <w:rPr>
      <w:rFonts w:ascii="黑体" w:eastAsia="黑体"/>
      <w:szCs w:val="21"/>
    </w:rPr>
  </w:style>
  <w:style w:type="paragraph" w:customStyle="1" w:styleId="111">
    <w:name w:val="其他实施日期"/>
    <w:basedOn w:val="112"/>
    <w:qFormat/>
    <w:uiPriority w:val="0"/>
  </w:style>
  <w:style w:type="paragraph" w:customStyle="1" w:styleId="112">
    <w:name w:val="实施日期"/>
    <w:basedOn w:val="97"/>
    <w:qFormat/>
    <w:uiPriority w:val="0"/>
    <w:pPr>
      <w:framePr w:vAnchor="page" w:hAnchor="page"/>
      <w:jc w:val="right"/>
    </w:pPr>
  </w:style>
  <w:style w:type="paragraph" w:customStyle="1" w:styleId="113">
    <w:name w:val="注×："/>
    <w:qFormat/>
    <w:uiPriority w:val="0"/>
    <w:pPr>
      <w:widowControl w:val="0"/>
      <w:numPr>
        <w:ilvl w:val="0"/>
        <w:numId w:val="15"/>
      </w:numPr>
      <w:autoSpaceDE w:val="0"/>
      <w:autoSpaceDN w:val="0"/>
      <w:jc w:val="both"/>
    </w:pPr>
    <w:rPr>
      <w:rFonts w:ascii="宋体" w:hAnsi="Times New Roman" w:eastAsia="宋体" w:cs="Times New Roman"/>
      <w:sz w:val="18"/>
      <w:szCs w:val="18"/>
      <w:lang w:val="en-US" w:eastAsia="zh-CN" w:bidi="ar-SA"/>
    </w:rPr>
  </w:style>
  <w:style w:type="paragraph" w:customStyle="1" w:styleId="114">
    <w:name w:val="附录三级无"/>
    <w:basedOn w:val="52"/>
    <w:qFormat/>
    <w:uiPriority w:val="0"/>
    <w:pPr>
      <w:tabs>
        <w:tab w:val="clear" w:pos="360"/>
      </w:tabs>
      <w:spacing w:before="0" w:beforeLines="0" w:after="0" w:afterLines="0"/>
    </w:pPr>
    <w:rPr>
      <w:rFonts w:ascii="宋体" w:eastAsia="宋体"/>
      <w:szCs w:val="21"/>
    </w:rPr>
  </w:style>
  <w:style w:type="paragraph" w:customStyle="1" w:styleId="115">
    <w:name w:val="正文表标题"/>
    <w:next w:val="21"/>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16">
    <w:name w:val="附录标识"/>
    <w:basedOn w:val="1"/>
    <w:next w:val="21"/>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7">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18">
    <w:name w:val="附录四级无"/>
    <w:basedOn w:val="71"/>
    <w:qFormat/>
    <w:uiPriority w:val="0"/>
    <w:pPr>
      <w:tabs>
        <w:tab w:val="clear" w:pos="360"/>
      </w:tabs>
      <w:spacing w:before="0" w:beforeLines="0" w:after="0" w:afterLines="0"/>
    </w:pPr>
    <w:rPr>
      <w:rFonts w:ascii="宋体" w:eastAsia="宋体"/>
      <w:szCs w:val="21"/>
    </w:rPr>
  </w:style>
  <w:style w:type="paragraph" w:customStyle="1" w:styleId="119">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20">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12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2">
    <w:name w:val="附录一级条标题"/>
    <w:basedOn w:val="123"/>
    <w:next w:val="21"/>
    <w:qFormat/>
    <w:uiPriority w:val="0"/>
    <w:pPr>
      <w:numPr>
        <w:ilvl w:val="2"/>
        <w:numId w:val="5"/>
      </w:numPr>
      <w:tabs>
        <w:tab w:val="left" w:pos="360"/>
      </w:tabs>
      <w:autoSpaceDN w:val="0"/>
      <w:spacing w:before="50" w:beforeLines="50" w:after="50" w:afterLines="50"/>
      <w:outlineLvl w:val="2"/>
    </w:pPr>
  </w:style>
  <w:style w:type="paragraph" w:customStyle="1" w:styleId="123">
    <w:name w:val="附录章标题"/>
    <w:next w:val="21"/>
    <w:qFormat/>
    <w:uiPriority w:val="0"/>
    <w:pPr>
      <w:numPr>
        <w:ilvl w:val="1"/>
        <w:numId w:val="5"/>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24">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25">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27">
    <w:name w:val="封面标准文稿编辑信息2"/>
    <w:basedOn w:val="54"/>
    <w:qFormat/>
    <w:uiPriority w:val="0"/>
    <w:pPr>
      <w:framePr w:y="4469"/>
    </w:p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30">
    <w:name w:val="其他发布日期"/>
    <w:basedOn w:val="97"/>
    <w:qFormat/>
    <w:uiPriority w:val="0"/>
    <w:pPr>
      <w:framePr w:vAnchor="page" w:hAnchor="page" w:x="1419"/>
    </w:pPr>
  </w:style>
  <w:style w:type="paragraph" w:customStyle="1" w:styleId="131">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一级无"/>
    <w:basedOn w:val="122"/>
    <w:qFormat/>
    <w:uiPriority w:val="0"/>
    <w:pPr>
      <w:tabs>
        <w:tab w:val="clear" w:pos="360"/>
      </w:tabs>
      <w:spacing w:before="0" w:beforeLines="0" w:after="0" w:afterLines="0"/>
    </w:pPr>
    <w:rPr>
      <w:rFonts w:ascii="宋体" w:eastAsia="宋体"/>
      <w:szCs w:val="21"/>
    </w:rPr>
  </w:style>
  <w:style w:type="paragraph" w:customStyle="1" w:styleId="134">
    <w:name w:val="附录表标题"/>
    <w:basedOn w:val="1"/>
    <w:next w:val="21"/>
    <w:qFormat/>
    <w:uiPriority w:val="0"/>
    <w:pPr>
      <w:numPr>
        <w:ilvl w:val="1"/>
        <w:numId w:val="9"/>
      </w:numPr>
      <w:tabs>
        <w:tab w:val="left" w:pos="180"/>
      </w:tabs>
      <w:spacing w:before="50" w:beforeLines="50" w:after="50" w:afterLines="50"/>
      <w:ind w:left="0" w:firstLine="0"/>
      <w:jc w:val="center"/>
    </w:pPr>
    <w:rPr>
      <w:rFonts w:ascii="黑体" w:eastAsia="黑体"/>
      <w:szCs w:val="21"/>
    </w:rPr>
  </w:style>
  <w:style w:type="paragraph" w:customStyle="1" w:styleId="135">
    <w:name w:val="附录二级无"/>
    <w:basedOn w:val="53"/>
    <w:qFormat/>
    <w:uiPriority w:val="0"/>
    <w:pPr>
      <w:tabs>
        <w:tab w:val="clear" w:pos="360"/>
      </w:tabs>
      <w:spacing w:before="0" w:beforeLines="0" w:after="0" w:afterLines="0"/>
    </w:pPr>
    <w:rPr>
      <w:rFonts w:ascii="宋体" w:eastAsia="宋体"/>
      <w:szCs w:val="21"/>
    </w:rPr>
  </w:style>
  <w:style w:type="paragraph" w:customStyle="1" w:styleId="136">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137">
    <w:name w:val="封面标准名称2"/>
    <w:basedOn w:val="58"/>
    <w:qFormat/>
    <w:uiPriority w:val="0"/>
    <w:pPr>
      <w:framePr w:y="4469"/>
      <w:spacing w:before="630" w:beforeLines="630"/>
    </w:p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microsoft.com/office/2006/relationships/keyMapCustomizations" Target="customizations.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embeddings/oleObject5.bin"/><Relationship Id="rId17" Type="http://schemas.openxmlformats.org/officeDocument/2006/relationships/image" Target="media/image6.wmf"/><Relationship Id="rId16" Type="http://schemas.openxmlformats.org/officeDocument/2006/relationships/oleObject" Target="embeddings/oleObject4.bin"/><Relationship Id="rId15" Type="http://schemas.openxmlformats.org/officeDocument/2006/relationships/image" Target="media/image5.wmf"/><Relationship Id="rId14" Type="http://schemas.openxmlformats.org/officeDocument/2006/relationships/oleObject" Target="embeddings/oleObject3.bin"/><Relationship Id="rId13" Type="http://schemas.openxmlformats.org/officeDocument/2006/relationships/image" Target="media/image4.png"/><Relationship Id="rId12" Type="http://schemas.openxmlformats.org/officeDocument/2006/relationships/image" Target="media/image3.wmf"/><Relationship Id="rId11" Type="http://schemas.openxmlformats.org/officeDocument/2006/relationships/oleObject" Target="embeddings/oleObject2.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3364</Words>
  <Characters>4213</Characters>
  <Lines>34</Lines>
  <Paragraphs>9</Paragraphs>
  <TotalTime>0</TotalTime>
  <ScaleCrop>false</ScaleCrop>
  <LinksUpToDate>false</LinksUpToDate>
  <CharactersWithSpaces>4443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2023-10-19T00:22:00Z</dcterms:created>
  <dc:creator>CNIS</dc:creator>
  <cp:lastModifiedBy>黎娜</cp:lastModifiedBy>
  <cp:lastPrinted>2024-09-30T07:16:00Z</cp:lastPrinted>
  <dcterms:modified xsi:type="dcterms:W3CDTF">2025-11-19T00:14:20Z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6CB066C8CC394FADAA9C274E4C125CB8_13</vt:lpwstr>
  </property>
  <property fmtid="{D5CDD505-2E9C-101B-9397-08002B2CF9AE}" pid="4" name="commondata">
    <vt:lpwstr>eyJoZGlkIjoiMTE0MjNiZTcyOWFlMzkzODE0NWVlN2I0ODE4NWJiYjMifQ==</vt:lpwstr>
  </property>
  <property fmtid="{D5CDD505-2E9C-101B-9397-08002B2CF9AE}" pid="5" name="KSOTemplateDocerSaveRecord">
    <vt:lpwstr>eyJoZGlkIjoiMTE0MjNiZTcyOWFlMzkzODE0NWVlN2I0ODE4NWJiYjMiLCJ1c2VySWQiOiIzNzQxMDcwMDgifQ==</vt:lpwstr>
  </property>
</Properties>
</file>